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B3" w:rsidRPr="004E6AF1" w:rsidRDefault="008F0B13" w:rsidP="001A5294">
      <w:pPr>
        <w:rPr>
          <w:rFonts w:ascii="Century Gothic" w:hAnsi="Century Gothic" w:cs="Tahoma"/>
          <w:color w:val="000000" w:themeColor="text1"/>
          <w:sz w:val="24"/>
        </w:rPr>
      </w:pPr>
      <w:r w:rsidRPr="004E6AF1">
        <w:rPr>
          <w:rFonts w:ascii="Century Gothic" w:hAnsi="Century Gothic" w:cs="Tahoma"/>
          <w:color w:val="000000" w:themeColor="text1"/>
          <w:sz w:val="24"/>
          <w:shd w:val="clear" w:color="auto" w:fill="FFFFFF"/>
        </w:rPr>
        <w:t>Señor</w:t>
      </w:r>
      <w:r w:rsidR="001A5294" w:rsidRPr="004E6AF1">
        <w:rPr>
          <w:rStyle w:val="apple-converted-space"/>
          <w:rFonts w:ascii="Century Gothic" w:hAnsi="Century Gothic" w:cs="Tahoma"/>
          <w:color w:val="000000" w:themeColor="text1"/>
          <w:sz w:val="24"/>
          <w:shd w:val="clear" w:color="auto" w:fill="FFFFFF"/>
        </w:rPr>
        <w:t>es</w:t>
      </w:r>
      <w:r w:rsidRPr="004E6AF1">
        <w:rPr>
          <w:rFonts w:ascii="Century Gothic" w:hAnsi="Century Gothic" w:cs="Tahoma"/>
          <w:color w:val="000000" w:themeColor="text1"/>
          <w:sz w:val="24"/>
        </w:rPr>
        <w:br/>
      </w:r>
      <w:r w:rsidRPr="004E6AF1">
        <w:rPr>
          <w:rFonts w:ascii="Century Gothic" w:hAnsi="Century Gothic" w:cs="Tahoma"/>
          <w:color w:val="000000" w:themeColor="text1"/>
          <w:sz w:val="24"/>
        </w:rPr>
        <w:br/>
      </w:r>
      <w:r w:rsidR="001A5294" w:rsidRPr="004E6AF1">
        <w:rPr>
          <w:rFonts w:ascii="Century Gothic" w:hAnsi="Century Gothic" w:cs="Tahoma"/>
          <w:color w:val="000000" w:themeColor="text1"/>
          <w:sz w:val="24"/>
          <w:shd w:val="clear" w:color="auto" w:fill="FFFFFF"/>
        </w:rPr>
        <w:t>DIRECCION TECNICA DE REGISTRO Y GESTION DE LA INFORMACION DE LA UNIDAD PARA LA ATENCION Y REPARACION INTEGRAL A LAS VICTIMAS</w:t>
      </w:r>
      <w:r w:rsidRPr="004E6AF1">
        <w:rPr>
          <w:rFonts w:ascii="Century Gothic" w:hAnsi="Century Gothic" w:cs="Tahoma"/>
          <w:color w:val="000000" w:themeColor="text1"/>
          <w:sz w:val="24"/>
        </w:rPr>
        <w:br/>
      </w:r>
    </w:p>
    <w:p w:rsidR="004E6AF1" w:rsidRPr="004E6AF1" w:rsidRDefault="001A5294" w:rsidP="004E6AF1">
      <w:pPr>
        <w:pStyle w:val="Sinespaciado"/>
        <w:rPr>
          <w:rFonts w:ascii="Century Gothic" w:hAnsi="Century Gothic"/>
          <w:sz w:val="24"/>
          <w:szCs w:val="24"/>
          <w:shd w:val="clear" w:color="auto" w:fill="FFFFFF"/>
        </w:rPr>
      </w:pPr>
      <w:r w:rsidRPr="005D3DEF">
        <w:rPr>
          <w:rFonts w:ascii="Century Gothic" w:hAnsi="Century Gothic"/>
          <w:sz w:val="24"/>
          <w:shd w:val="clear" w:color="auto" w:fill="FFFFFF"/>
        </w:rPr>
        <w:t xml:space="preserve">Villavicencio </w:t>
      </w:r>
      <w:r w:rsidR="008F0B13" w:rsidRPr="004E6AF1">
        <w:br/>
      </w:r>
      <w:r w:rsidR="008F0B13" w:rsidRPr="004E6AF1">
        <w:br/>
      </w:r>
      <w:r w:rsidR="004E6AF1" w:rsidRPr="004E6AF1">
        <w:rPr>
          <w:rFonts w:ascii="Century Gothic" w:hAnsi="Century Gothic"/>
          <w:b/>
          <w:sz w:val="24"/>
          <w:szCs w:val="24"/>
          <w:shd w:val="clear" w:color="auto" w:fill="FFFFFF"/>
        </w:rPr>
        <w:t>Ref. Petición de Revocatorio Directa</w:t>
      </w:r>
    </w:p>
    <w:p w:rsidR="001A5294" w:rsidRPr="004E6AF1" w:rsidRDefault="008F0B13" w:rsidP="004E6AF1">
      <w:pPr>
        <w:pStyle w:val="Sinespaciado"/>
        <w:rPr>
          <w:rFonts w:ascii="Century Gothic" w:hAnsi="Century Gothic"/>
          <w:sz w:val="24"/>
          <w:szCs w:val="24"/>
        </w:rPr>
      </w:pPr>
      <w:r w:rsidRPr="004E6AF1">
        <w:rPr>
          <w:rFonts w:ascii="Century Gothic" w:hAnsi="Century Gothic"/>
          <w:sz w:val="24"/>
          <w:szCs w:val="24"/>
          <w:shd w:val="clear" w:color="auto" w:fill="FFFFFF"/>
        </w:rPr>
        <w:t>No. 2016-242406, De 13 diciembre de 2016</w:t>
      </w:r>
      <w:r w:rsidRPr="004E6AF1">
        <w:rPr>
          <w:rFonts w:ascii="Century Gothic" w:hAnsi="Century Gothic"/>
          <w:sz w:val="24"/>
          <w:szCs w:val="24"/>
          <w:shd w:val="clear" w:color="auto" w:fill="FFFFFF"/>
        </w:rPr>
        <w:t>.</w:t>
      </w:r>
      <w:r w:rsidRPr="004E6AF1">
        <w:rPr>
          <w:rFonts w:ascii="Century Gothic" w:hAnsi="Century Gothic"/>
          <w:sz w:val="24"/>
          <w:szCs w:val="24"/>
        </w:rPr>
        <w:br/>
      </w:r>
    </w:p>
    <w:p w:rsidR="001A5294" w:rsidRPr="004E6AF1" w:rsidRDefault="001A5294" w:rsidP="001A5294">
      <w:pPr>
        <w:rPr>
          <w:rFonts w:ascii="Century Gothic" w:hAnsi="Century Gothic" w:cs="Arial"/>
          <w:color w:val="000000" w:themeColor="text1"/>
          <w:sz w:val="24"/>
          <w:szCs w:val="24"/>
          <w:shd w:val="clear" w:color="auto" w:fill="FFFFFF"/>
        </w:rPr>
      </w:pPr>
      <w:r w:rsidRPr="004E6AF1">
        <w:rPr>
          <w:rFonts w:ascii="Century Gothic" w:hAnsi="Century Gothic" w:cs="Tahoma"/>
          <w:color w:val="000000" w:themeColor="text1"/>
          <w:sz w:val="24"/>
        </w:rPr>
        <w:t xml:space="preserve">Asunto: </w:t>
      </w:r>
      <w:r w:rsidR="00F50E3F" w:rsidRPr="004E6AF1">
        <w:rPr>
          <w:rFonts w:ascii="Century Gothic" w:hAnsi="Century Gothic" w:cs="Tahoma"/>
          <w:color w:val="000000" w:themeColor="text1"/>
          <w:sz w:val="24"/>
        </w:rPr>
        <w:t xml:space="preserve">SOLICITUD DE REVOCATORIA DIRECTA </w:t>
      </w:r>
      <w:r w:rsidR="008F0B13" w:rsidRPr="004E6AF1">
        <w:rPr>
          <w:rFonts w:ascii="Century Gothic" w:hAnsi="Century Gothic" w:cs="Tahoma"/>
          <w:color w:val="000000" w:themeColor="text1"/>
          <w:sz w:val="24"/>
        </w:rPr>
        <w:br/>
      </w:r>
      <w:r w:rsidR="008F0B13" w:rsidRPr="004E6AF1">
        <w:rPr>
          <w:rFonts w:ascii="Century Gothic" w:hAnsi="Century Gothic" w:cs="Tahoma"/>
          <w:color w:val="000000" w:themeColor="text1"/>
          <w:sz w:val="24"/>
        </w:rPr>
        <w:br/>
      </w:r>
    </w:p>
    <w:p w:rsidR="00F50E3F" w:rsidRPr="004E6AF1" w:rsidRDefault="008F0B13" w:rsidP="004E6AF1">
      <w:pPr>
        <w:spacing w:line="360" w:lineRule="auto"/>
        <w:jc w:val="both"/>
        <w:rPr>
          <w:rFonts w:ascii="Century Gothic" w:hAnsi="Century Gothic" w:cs="Arial"/>
          <w:color w:val="000000" w:themeColor="text1"/>
          <w:sz w:val="24"/>
          <w:szCs w:val="24"/>
          <w:shd w:val="clear" w:color="auto" w:fill="FFFFFF"/>
        </w:rPr>
      </w:pPr>
      <w:r w:rsidRPr="004E6AF1">
        <w:rPr>
          <w:rFonts w:ascii="Century Gothic" w:hAnsi="Century Gothic" w:cs="Arial"/>
          <w:b/>
          <w:color w:val="000000" w:themeColor="text1"/>
          <w:sz w:val="24"/>
          <w:szCs w:val="24"/>
          <w:shd w:val="clear" w:color="auto" w:fill="FFFFFF"/>
        </w:rPr>
        <w:t>Martha Cecilia Silva Carvajal</w:t>
      </w:r>
      <w:r w:rsidR="001A5294" w:rsidRPr="004E6AF1">
        <w:rPr>
          <w:rFonts w:ascii="Century Gothic" w:hAnsi="Century Gothic" w:cs="Arial"/>
          <w:color w:val="000000" w:themeColor="text1"/>
          <w:sz w:val="24"/>
          <w:szCs w:val="24"/>
          <w:shd w:val="clear" w:color="auto" w:fill="FFFFFF"/>
        </w:rPr>
        <w:t xml:space="preserve"> identificada con C.C. </w:t>
      </w:r>
      <w:r w:rsidR="001A5294" w:rsidRPr="004E6AF1">
        <w:rPr>
          <w:rFonts w:ascii="Century Gothic" w:hAnsi="Century Gothic" w:cs="Arial"/>
          <w:sz w:val="24"/>
          <w:szCs w:val="24"/>
        </w:rPr>
        <w:t xml:space="preserve">69801418 </w:t>
      </w:r>
      <w:r w:rsidR="001A5294" w:rsidRPr="004E6AF1">
        <w:rPr>
          <w:rFonts w:ascii="Century Gothic" w:hAnsi="Century Gothic" w:cs="Arial"/>
          <w:sz w:val="24"/>
          <w:szCs w:val="24"/>
        </w:rPr>
        <w:t>de Mitú ,</w:t>
      </w:r>
      <w:r w:rsidRPr="004E6AF1">
        <w:rPr>
          <w:rFonts w:ascii="Century Gothic" w:hAnsi="Century Gothic" w:cs="Arial"/>
          <w:color w:val="000000" w:themeColor="text1"/>
          <w:sz w:val="24"/>
          <w:szCs w:val="24"/>
          <w:shd w:val="clear" w:color="auto" w:fill="FFFFFF"/>
        </w:rPr>
        <w:t xml:space="preserve"> en </w:t>
      </w:r>
      <w:r w:rsidR="00F50E3F" w:rsidRPr="004E6AF1">
        <w:rPr>
          <w:rFonts w:ascii="Century Gothic" w:hAnsi="Century Gothic" w:cs="Arial"/>
          <w:color w:val="000000" w:themeColor="text1"/>
          <w:sz w:val="24"/>
          <w:szCs w:val="24"/>
          <w:shd w:val="clear" w:color="auto" w:fill="FFFFFF"/>
        </w:rPr>
        <w:t xml:space="preserve">ejercicio del derecho de petición consagrado en el </w:t>
      </w:r>
      <w:r w:rsidR="00E408B3" w:rsidRPr="004E6AF1">
        <w:rPr>
          <w:rFonts w:ascii="Century Gothic" w:hAnsi="Century Gothic" w:cs="Arial"/>
          <w:color w:val="000000" w:themeColor="text1"/>
          <w:sz w:val="24"/>
          <w:szCs w:val="24"/>
          <w:shd w:val="clear" w:color="auto" w:fill="FFFFFF"/>
        </w:rPr>
        <w:t>artículo</w:t>
      </w:r>
      <w:r w:rsidR="00F50E3F" w:rsidRPr="004E6AF1">
        <w:rPr>
          <w:rFonts w:ascii="Century Gothic" w:hAnsi="Century Gothic" w:cs="Arial"/>
          <w:color w:val="000000" w:themeColor="text1"/>
          <w:sz w:val="24"/>
          <w:szCs w:val="24"/>
          <w:shd w:val="clear" w:color="auto" w:fill="FFFFFF"/>
        </w:rPr>
        <w:t xml:space="preserve"> 23 de la </w:t>
      </w:r>
      <w:r w:rsidR="00E408B3" w:rsidRPr="004E6AF1">
        <w:rPr>
          <w:rFonts w:ascii="Century Gothic" w:hAnsi="Century Gothic" w:cs="Arial"/>
          <w:color w:val="000000" w:themeColor="text1"/>
          <w:sz w:val="24"/>
          <w:szCs w:val="24"/>
          <w:shd w:val="clear" w:color="auto" w:fill="FFFFFF"/>
        </w:rPr>
        <w:t>Constitución</w:t>
      </w:r>
      <w:r w:rsidR="00F50E3F" w:rsidRPr="004E6AF1">
        <w:rPr>
          <w:rFonts w:ascii="Century Gothic" w:hAnsi="Century Gothic" w:cs="Arial"/>
          <w:color w:val="000000" w:themeColor="text1"/>
          <w:sz w:val="24"/>
          <w:szCs w:val="24"/>
          <w:shd w:val="clear" w:color="auto" w:fill="FFFFFF"/>
        </w:rPr>
        <w:t xml:space="preserve"> política de Colombia y en el </w:t>
      </w:r>
      <w:r w:rsidR="00E408B3" w:rsidRPr="004E6AF1">
        <w:rPr>
          <w:rFonts w:ascii="Century Gothic" w:hAnsi="Century Gothic" w:cs="Arial"/>
          <w:color w:val="000000" w:themeColor="text1"/>
          <w:sz w:val="24"/>
          <w:szCs w:val="24"/>
          <w:shd w:val="clear" w:color="auto" w:fill="FFFFFF"/>
        </w:rPr>
        <w:t>artículo</w:t>
      </w:r>
      <w:r w:rsidR="00F50E3F" w:rsidRPr="004E6AF1">
        <w:rPr>
          <w:rFonts w:ascii="Century Gothic" w:hAnsi="Century Gothic" w:cs="Arial"/>
          <w:color w:val="000000" w:themeColor="text1"/>
          <w:sz w:val="24"/>
          <w:szCs w:val="24"/>
          <w:shd w:val="clear" w:color="auto" w:fill="FFFFFF"/>
        </w:rPr>
        <w:t xml:space="preserve"> 13 y siguientes del </w:t>
      </w:r>
      <w:r w:rsidR="00E408B3" w:rsidRPr="004E6AF1">
        <w:rPr>
          <w:rFonts w:ascii="Century Gothic" w:hAnsi="Century Gothic" w:cs="Arial"/>
          <w:color w:val="000000" w:themeColor="text1"/>
          <w:sz w:val="24"/>
          <w:szCs w:val="24"/>
          <w:shd w:val="clear" w:color="auto" w:fill="FFFFFF"/>
        </w:rPr>
        <w:t>Código</w:t>
      </w:r>
      <w:r w:rsidR="00F50E3F" w:rsidRPr="004E6AF1">
        <w:rPr>
          <w:rFonts w:ascii="Century Gothic" w:hAnsi="Century Gothic" w:cs="Arial"/>
          <w:color w:val="000000" w:themeColor="text1"/>
          <w:sz w:val="24"/>
          <w:szCs w:val="24"/>
          <w:shd w:val="clear" w:color="auto" w:fill="FFFFFF"/>
        </w:rPr>
        <w:t xml:space="preserve"> de procedimiento administrativo y de lo Contencioso administrativo, en calidad de reclamante solicito se me reconozca la inclusión en el</w:t>
      </w:r>
      <w:r w:rsidRPr="004E6AF1">
        <w:rPr>
          <w:rFonts w:ascii="Century Gothic" w:hAnsi="Century Gothic" w:cs="Arial"/>
          <w:color w:val="000000" w:themeColor="text1"/>
          <w:sz w:val="24"/>
          <w:szCs w:val="24"/>
          <w:shd w:val="clear" w:color="auto" w:fill="FFFFFF"/>
        </w:rPr>
        <w:t xml:space="preserve"> registro único de </w:t>
      </w:r>
      <w:r w:rsidR="001A5294" w:rsidRPr="004E6AF1">
        <w:rPr>
          <w:rFonts w:ascii="Century Gothic" w:hAnsi="Century Gothic" w:cs="Arial"/>
          <w:color w:val="000000" w:themeColor="text1"/>
          <w:sz w:val="24"/>
          <w:szCs w:val="24"/>
          <w:shd w:val="clear" w:color="auto" w:fill="FFFFFF"/>
        </w:rPr>
        <w:t>víctimas</w:t>
      </w:r>
      <w:r w:rsidRPr="004E6AF1">
        <w:rPr>
          <w:rFonts w:ascii="Century Gothic" w:hAnsi="Century Gothic" w:cs="Arial"/>
          <w:color w:val="000000" w:themeColor="text1"/>
          <w:sz w:val="24"/>
          <w:szCs w:val="24"/>
          <w:shd w:val="clear" w:color="auto" w:fill="FFFFFF"/>
        </w:rPr>
        <w:t xml:space="preserve"> </w:t>
      </w:r>
      <w:r w:rsidR="00F50E3F" w:rsidRPr="004E6AF1">
        <w:rPr>
          <w:rFonts w:ascii="Century Gothic" w:hAnsi="Century Gothic" w:cs="Arial"/>
          <w:color w:val="000000" w:themeColor="text1"/>
          <w:sz w:val="24"/>
          <w:szCs w:val="24"/>
          <w:shd w:val="clear" w:color="auto" w:fill="FFFFFF"/>
        </w:rPr>
        <w:t xml:space="preserve">y reconocer el hecho </w:t>
      </w:r>
      <w:r w:rsidR="00E408B3" w:rsidRPr="004E6AF1">
        <w:rPr>
          <w:rFonts w:ascii="Century Gothic" w:hAnsi="Century Gothic" w:cs="Arial"/>
          <w:color w:val="000000" w:themeColor="text1"/>
          <w:sz w:val="24"/>
          <w:szCs w:val="24"/>
          <w:shd w:val="clear" w:color="auto" w:fill="FFFFFF"/>
        </w:rPr>
        <w:t>victimizarte</w:t>
      </w:r>
      <w:r w:rsidR="00F50E3F" w:rsidRPr="004E6AF1">
        <w:rPr>
          <w:rFonts w:ascii="Century Gothic" w:hAnsi="Century Gothic" w:cs="Arial"/>
          <w:color w:val="000000" w:themeColor="text1"/>
          <w:sz w:val="24"/>
          <w:szCs w:val="24"/>
          <w:shd w:val="clear" w:color="auto" w:fill="FFFFFF"/>
        </w:rPr>
        <w:t xml:space="preserve"> del desplazamiento forzado, me permito de conformidad solicitar revocatoria directa del acto administrativo que decide la negativa de inclusión en el RUV y el otorgamiento de las medidas de reparación. Con fundamento en las siguientes razones jurídicas y de facto. </w:t>
      </w:r>
    </w:p>
    <w:p w:rsidR="00F50E3F" w:rsidRPr="004E6AF1" w:rsidRDefault="004E6AF1" w:rsidP="004E6AF1">
      <w:pPr>
        <w:pStyle w:val="Prrafodelista"/>
        <w:spacing w:line="360" w:lineRule="auto"/>
        <w:ind w:left="1080"/>
        <w:jc w:val="center"/>
        <w:rPr>
          <w:rFonts w:ascii="Century Gothic" w:hAnsi="Century Gothic" w:cs="Arial"/>
          <w:b/>
          <w:color w:val="000000" w:themeColor="text1"/>
          <w:sz w:val="24"/>
          <w:szCs w:val="24"/>
          <w:shd w:val="clear" w:color="auto" w:fill="FFFFFF"/>
        </w:rPr>
      </w:pPr>
      <w:r w:rsidRPr="004E6AF1">
        <w:rPr>
          <w:rFonts w:ascii="Century Gothic" w:hAnsi="Century Gothic" w:cs="Arial"/>
          <w:b/>
          <w:color w:val="000000" w:themeColor="text1"/>
          <w:sz w:val="24"/>
          <w:szCs w:val="24"/>
          <w:shd w:val="clear" w:color="auto" w:fill="FFFFFF"/>
        </w:rPr>
        <w:t>ANTECEDENTES</w:t>
      </w:r>
    </w:p>
    <w:p w:rsidR="00F50E3F" w:rsidRPr="004E6AF1" w:rsidRDefault="00F50E3F" w:rsidP="004E6AF1">
      <w:pPr>
        <w:pStyle w:val="Prrafodelista"/>
        <w:numPr>
          <w:ilvl w:val="0"/>
          <w:numId w:val="4"/>
        </w:numPr>
        <w:spacing w:line="360" w:lineRule="auto"/>
        <w:jc w:val="both"/>
        <w:rPr>
          <w:rFonts w:ascii="Century Gothic" w:hAnsi="Century Gothic" w:cs="Arial"/>
          <w:color w:val="000000" w:themeColor="text1"/>
          <w:sz w:val="24"/>
          <w:szCs w:val="24"/>
          <w:shd w:val="clear" w:color="auto" w:fill="FFFFFF"/>
        </w:rPr>
      </w:pPr>
      <w:r w:rsidRPr="004E6AF1">
        <w:rPr>
          <w:rFonts w:ascii="Century Gothic" w:hAnsi="Century Gothic" w:cs="Arial"/>
          <w:color w:val="000000" w:themeColor="text1"/>
          <w:sz w:val="24"/>
          <w:szCs w:val="24"/>
          <w:shd w:val="clear" w:color="auto" w:fill="FFFFFF"/>
        </w:rPr>
        <w:t xml:space="preserve">Estuve presente en la toma del </w:t>
      </w:r>
      <w:r w:rsidR="00E408B3" w:rsidRPr="004E6AF1">
        <w:rPr>
          <w:rFonts w:ascii="Century Gothic" w:hAnsi="Century Gothic" w:cs="Arial"/>
          <w:color w:val="000000" w:themeColor="text1"/>
          <w:sz w:val="24"/>
          <w:szCs w:val="24"/>
          <w:shd w:val="clear" w:color="auto" w:fill="FFFFFF"/>
        </w:rPr>
        <w:t>Mitú</w:t>
      </w:r>
      <w:r w:rsidRPr="004E6AF1">
        <w:rPr>
          <w:rFonts w:ascii="Century Gothic" w:hAnsi="Century Gothic" w:cs="Arial"/>
          <w:color w:val="000000" w:themeColor="text1"/>
          <w:sz w:val="24"/>
          <w:szCs w:val="24"/>
          <w:shd w:val="clear" w:color="auto" w:fill="FFFFFF"/>
        </w:rPr>
        <w:t xml:space="preserve"> del 01 de noviembre de 1.998, todo empezó cuando dos días antes de la anterior fecha señalada me avisaran por medio de un papel en donde me comunicaban </w:t>
      </w:r>
      <w:r w:rsidR="00B65F4D" w:rsidRPr="004E6AF1">
        <w:rPr>
          <w:rFonts w:ascii="Century Gothic" w:hAnsi="Century Gothic" w:cs="Arial"/>
          <w:color w:val="000000" w:themeColor="text1"/>
          <w:sz w:val="24"/>
          <w:szCs w:val="24"/>
          <w:shd w:val="clear" w:color="auto" w:fill="FFFFFF"/>
        </w:rPr>
        <w:t>que debía irse porque las cosas se iban a poner mal.</w:t>
      </w:r>
    </w:p>
    <w:p w:rsidR="00B65F4D" w:rsidRPr="004E6AF1" w:rsidRDefault="00B65F4D" w:rsidP="004E6AF1">
      <w:pPr>
        <w:pStyle w:val="Prrafodelista"/>
        <w:numPr>
          <w:ilvl w:val="0"/>
          <w:numId w:val="4"/>
        </w:numPr>
        <w:spacing w:line="360" w:lineRule="auto"/>
        <w:jc w:val="both"/>
        <w:rPr>
          <w:rFonts w:ascii="Century Gothic" w:hAnsi="Century Gothic" w:cs="Arial"/>
          <w:color w:val="000000" w:themeColor="text1"/>
          <w:sz w:val="24"/>
          <w:szCs w:val="24"/>
          <w:shd w:val="clear" w:color="auto" w:fill="FFFFFF"/>
        </w:rPr>
      </w:pPr>
      <w:r w:rsidRPr="004E6AF1">
        <w:rPr>
          <w:rFonts w:ascii="Century Gothic" w:hAnsi="Century Gothic" w:cs="Arial"/>
          <w:color w:val="000000" w:themeColor="text1"/>
          <w:sz w:val="24"/>
          <w:szCs w:val="24"/>
          <w:shd w:val="clear" w:color="auto" w:fill="FFFFFF"/>
        </w:rPr>
        <w:t xml:space="preserve">Pasaron los días y </w:t>
      </w:r>
      <w:r w:rsidR="00E408B3" w:rsidRPr="004E6AF1">
        <w:rPr>
          <w:rFonts w:ascii="Century Gothic" w:hAnsi="Century Gothic" w:cs="Arial"/>
          <w:color w:val="000000" w:themeColor="text1"/>
          <w:sz w:val="24"/>
          <w:szCs w:val="24"/>
          <w:shd w:val="clear" w:color="auto" w:fill="FFFFFF"/>
        </w:rPr>
        <w:t>afectamente</w:t>
      </w:r>
      <w:r w:rsidRPr="004E6AF1">
        <w:rPr>
          <w:rFonts w:ascii="Century Gothic" w:hAnsi="Century Gothic" w:cs="Arial"/>
          <w:color w:val="000000" w:themeColor="text1"/>
          <w:sz w:val="24"/>
          <w:szCs w:val="24"/>
          <w:shd w:val="clear" w:color="auto" w:fill="FFFFFF"/>
        </w:rPr>
        <w:t xml:space="preserve"> el 01 de noviembre en las horas de la madrugada </w:t>
      </w:r>
      <w:r w:rsidR="00E408B3" w:rsidRPr="004E6AF1">
        <w:rPr>
          <w:rFonts w:ascii="Century Gothic" w:hAnsi="Century Gothic" w:cs="Arial"/>
          <w:color w:val="000000" w:themeColor="text1"/>
          <w:sz w:val="24"/>
          <w:szCs w:val="24"/>
          <w:shd w:val="clear" w:color="auto" w:fill="FFFFFF"/>
        </w:rPr>
        <w:t>empezó</w:t>
      </w:r>
      <w:r w:rsidRPr="004E6AF1">
        <w:rPr>
          <w:rFonts w:ascii="Century Gothic" w:hAnsi="Century Gothic" w:cs="Arial"/>
          <w:color w:val="000000" w:themeColor="text1"/>
          <w:sz w:val="24"/>
          <w:szCs w:val="24"/>
          <w:shd w:val="clear" w:color="auto" w:fill="FFFFFF"/>
        </w:rPr>
        <w:t xml:space="preserve"> el tiroteo al pasar este </w:t>
      </w:r>
      <w:r w:rsidR="00E408B3" w:rsidRPr="004E6AF1">
        <w:rPr>
          <w:rFonts w:ascii="Century Gothic" w:hAnsi="Century Gothic" w:cs="Arial"/>
          <w:color w:val="000000" w:themeColor="text1"/>
          <w:sz w:val="24"/>
          <w:szCs w:val="24"/>
          <w:shd w:val="clear" w:color="auto" w:fill="FFFFFF"/>
        </w:rPr>
        <w:t>día</w:t>
      </w:r>
      <w:r w:rsidRPr="004E6AF1">
        <w:rPr>
          <w:rFonts w:ascii="Century Gothic" w:hAnsi="Century Gothic" w:cs="Arial"/>
          <w:color w:val="000000" w:themeColor="text1"/>
          <w:sz w:val="24"/>
          <w:szCs w:val="24"/>
          <w:shd w:val="clear" w:color="auto" w:fill="FFFFFF"/>
        </w:rPr>
        <w:t xml:space="preserve"> todo estaba cubierto por la guerrilla, en los establecimientos </w:t>
      </w:r>
      <w:r w:rsidRPr="004E6AF1">
        <w:rPr>
          <w:rFonts w:ascii="Century Gothic" w:hAnsi="Century Gothic" w:cs="Arial"/>
          <w:color w:val="000000" w:themeColor="text1"/>
          <w:sz w:val="24"/>
          <w:szCs w:val="24"/>
          <w:shd w:val="clear" w:color="auto" w:fill="FFFFFF"/>
        </w:rPr>
        <w:lastRenderedPageBreak/>
        <w:t xml:space="preserve">comerciales, </w:t>
      </w:r>
      <w:r w:rsidR="00E408B3" w:rsidRPr="004E6AF1">
        <w:rPr>
          <w:rFonts w:ascii="Century Gothic" w:hAnsi="Century Gothic" w:cs="Arial"/>
          <w:color w:val="000000" w:themeColor="text1"/>
          <w:sz w:val="24"/>
          <w:szCs w:val="24"/>
          <w:shd w:val="clear" w:color="auto" w:fill="FFFFFF"/>
        </w:rPr>
        <w:t>había</w:t>
      </w:r>
      <w:r w:rsidRPr="004E6AF1">
        <w:rPr>
          <w:rFonts w:ascii="Century Gothic" w:hAnsi="Century Gothic" w:cs="Arial"/>
          <w:color w:val="000000" w:themeColor="text1"/>
          <w:sz w:val="24"/>
          <w:szCs w:val="24"/>
          <w:shd w:val="clear" w:color="auto" w:fill="FFFFFF"/>
        </w:rPr>
        <w:t xml:space="preserve"> cuerpos de policías por todas partes, las personas no sabíamos que hacer. Fue aproximadamente por una larga semana que la guerrilla se </w:t>
      </w:r>
      <w:r w:rsidR="00E408B3" w:rsidRPr="004E6AF1">
        <w:rPr>
          <w:rFonts w:ascii="Century Gothic" w:hAnsi="Century Gothic" w:cs="Arial"/>
          <w:color w:val="000000" w:themeColor="text1"/>
          <w:sz w:val="24"/>
          <w:szCs w:val="24"/>
          <w:shd w:val="clear" w:color="auto" w:fill="FFFFFF"/>
        </w:rPr>
        <w:t>tomó</w:t>
      </w:r>
      <w:r w:rsidRPr="004E6AF1">
        <w:rPr>
          <w:rFonts w:ascii="Century Gothic" w:hAnsi="Century Gothic" w:cs="Arial"/>
          <w:color w:val="000000" w:themeColor="text1"/>
          <w:sz w:val="24"/>
          <w:szCs w:val="24"/>
          <w:shd w:val="clear" w:color="auto" w:fill="FFFFFF"/>
        </w:rPr>
        <w:t xml:space="preserve"> el Pueblo hasta que llego el </w:t>
      </w:r>
      <w:r w:rsidR="00E408B3" w:rsidRPr="004E6AF1">
        <w:rPr>
          <w:rFonts w:ascii="Century Gothic" w:hAnsi="Century Gothic" w:cs="Arial"/>
          <w:color w:val="000000" w:themeColor="text1"/>
          <w:sz w:val="24"/>
          <w:szCs w:val="24"/>
          <w:shd w:val="clear" w:color="auto" w:fill="FFFFFF"/>
        </w:rPr>
        <w:t>ejército</w:t>
      </w:r>
      <w:r w:rsidRPr="004E6AF1">
        <w:rPr>
          <w:rFonts w:ascii="Century Gothic" w:hAnsi="Century Gothic" w:cs="Arial"/>
          <w:color w:val="000000" w:themeColor="text1"/>
          <w:sz w:val="24"/>
          <w:szCs w:val="24"/>
          <w:shd w:val="clear" w:color="auto" w:fill="FFFFFF"/>
        </w:rPr>
        <w:t xml:space="preserve">. </w:t>
      </w:r>
    </w:p>
    <w:p w:rsidR="00B65F4D" w:rsidRPr="004E6AF1" w:rsidRDefault="00B65F4D" w:rsidP="003F4291">
      <w:pPr>
        <w:pStyle w:val="Prrafodelista"/>
        <w:numPr>
          <w:ilvl w:val="0"/>
          <w:numId w:val="4"/>
        </w:numPr>
        <w:spacing w:line="360" w:lineRule="auto"/>
        <w:jc w:val="both"/>
        <w:rPr>
          <w:rFonts w:ascii="Century Gothic" w:hAnsi="Century Gothic" w:cs="Arial"/>
          <w:color w:val="000000" w:themeColor="text1"/>
          <w:sz w:val="24"/>
          <w:szCs w:val="24"/>
          <w:shd w:val="clear" w:color="auto" w:fill="FFFFFF"/>
        </w:rPr>
      </w:pPr>
      <w:r w:rsidRPr="004E6AF1">
        <w:rPr>
          <w:rFonts w:ascii="Century Gothic" w:hAnsi="Century Gothic" w:cs="Arial"/>
          <w:color w:val="000000" w:themeColor="text1"/>
          <w:sz w:val="24"/>
          <w:szCs w:val="24"/>
          <w:shd w:val="clear" w:color="auto" w:fill="FFFFFF"/>
        </w:rPr>
        <w:t xml:space="preserve">En el carro del ejercito afortunadamente me </w:t>
      </w:r>
      <w:r w:rsidR="00037FEF" w:rsidRPr="004E6AF1">
        <w:rPr>
          <w:rFonts w:ascii="Century Gothic" w:hAnsi="Century Gothic" w:cs="Arial"/>
          <w:color w:val="000000" w:themeColor="text1"/>
          <w:sz w:val="24"/>
          <w:szCs w:val="24"/>
          <w:shd w:val="clear" w:color="auto" w:fill="FFFFFF"/>
        </w:rPr>
        <w:t xml:space="preserve">pude subir con mi hijo de 3 años y fuimos trasladados hacia Villavicencio. </w:t>
      </w:r>
    </w:p>
    <w:p w:rsidR="00037FEF" w:rsidRPr="004E6AF1" w:rsidRDefault="00037FEF" w:rsidP="003F4291">
      <w:pPr>
        <w:pStyle w:val="Prrafodelista"/>
        <w:numPr>
          <w:ilvl w:val="0"/>
          <w:numId w:val="4"/>
        </w:numPr>
        <w:spacing w:line="360" w:lineRule="auto"/>
        <w:jc w:val="both"/>
        <w:rPr>
          <w:rFonts w:ascii="Century Gothic" w:hAnsi="Century Gothic" w:cs="Arial"/>
          <w:color w:val="000000" w:themeColor="text1"/>
          <w:sz w:val="24"/>
          <w:szCs w:val="24"/>
          <w:shd w:val="clear" w:color="auto" w:fill="FFFFFF"/>
        </w:rPr>
      </w:pPr>
      <w:r w:rsidRPr="004E6AF1">
        <w:rPr>
          <w:rFonts w:ascii="Century Gothic" w:hAnsi="Century Gothic" w:cs="Arial"/>
          <w:color w:val="000000" w:themeColor="text1"/>
          <w:sz w:val="24"/>
          <w:szCs w:val="24"/>
          <w:shd w:val="clear" w:color="auto" w:fill="FFFFFF"/>
        </w:rPr>
        <w:t xml:space="preserve">En la llegada a Villavicencio la situación económica y </w:t>
      </w:r>
      <w:r w:rsidR="00E408B3" w:rsidRPr="004E6AF1">
        <w:rPr>
          <w:rFonts w:ascii="Century Gothic" w:hAnsi="Century Gothic" w:cs="Arial"/>
          <w:color w:val="000000" w:themeColor="text1"/>
          <w:sz w:val="24"/>
          <w:szCs w:val="24"/>
          <w:shd w:val="clear" w:color="auto" w:fill="FFFFFF"/>
        </w:rPr>
        <w:t>psicológica</w:t>
      </w:r>
      <w:r w:rsidRPr="004E6AF1">
        <w:rPr>
          <w:rFonts w:ascii="Century Gothic" w:hAnsi="Century Gothic" w:cs="Arial"/>
          <w:color w:val="000000" w:themeColor="text1"/>
          <w:sz w:val="24"/>
          <w:szCs w:val="24"/>
          <w:shd w:val="clear" w:color="auto" w:fill="FFFFFF"/>
        </w:rPr>
        <w:t xml:space="preserve"> fue bastante difícil debido a que al principio no </w:t>
      </w:r>
      <w:r w:rsidR="00E408B3" w:rsidRPr="004E6AF1">
        <w:rPr>
          <w:rFonts w:ascii="Century Gothic" w:hAnsi="Century Gothic" w:cs="Arial"/>
          <w:color w:val="000000" w:themeColor="text1"/>
          <w:sz w:val="24"/>
          <w:szCs w:val="24"/>
          <w:shd w:val="clear" w:color="auto" w:fill="FFFFFF"/>
        </w:rPr>
        <w:t>tenía</w:t>
      </w:r>
      <w:r w:rsidRPr="004E6AF1">
        <w:rPr>
          <w:rFonts w:ascii="Century Gothic" w:hAnsi="Century Gothic" w:cs="Arial"/>
          <w:color w:val="000000" w:themeColor="text1"/>
          <w:sz w:val="24"/>
          <w:szCs w:val="24"/>
          <w:shd w:val="clear" w:color="auto" w:fill="FFFFFF"/>
        </w:rPr>
        <w:t xml:space="preserve"> trabajo y </w:t>
      </w:r>
      <w:r w:rsidR="00E408B3" w:rsidRPr="004E6AF1">
        <w:rPr>
          <w:rFonts w:ascii="Century Gothic" w:hAnsi="Century Gothic" w:cs="Arial"/>
          <w:color w:val="000000" w:themeColor="text1"/>
          <w:sz w:val="24"/>
          <w:szCs w:val="24"/>
          <w:shd w:val="clear" w:color="auto" w:fill="FFFFFF"/>
        </w:rPr>
        <w:t>consta mente</w:t>
      </w:r>
      <w:r w:rsidRPr="004E6AF1">
        <w:rPr>
          <w:rFonts w:ascii="Century Gothic" w:hAnsi="Century Gothic" w:cs="Arial"/>
          <w:color w:val="000000" w:themeColor="text1"/>
          <w:sz w:val="24"/>
          <w:szCs w:val="24"/>
          <w:shd w:val="clear" w:color="auto" w:fill="FFFFFF"/>
        </w:rPr>
        <w:t xml:space="preserve"> recordaba las imágenes de ese triste y aterrador 1 de noviembre tanto </w:t>
      </w:r>
      <w:r w:rsidR="00E408B3" w:rsidRPr="004E6AF1">
        <w:rPr>
          <w:rFonts w:ascii="Century Gothic" w:hAnsi="Century Gothic" w:cs="Arial"/>
          <w:color w:val="000000" w:themeColor="text1"/>
          <w:sz w:val="24"/>
          <w:szCs w:val="24"/>
          <w:shd w:val="clear" w:color="auto" w:fill="FFFFFF"/>
        </w:rPr>
        <w:t>así</w:t>
      </w:r>
      <w:r w:rsidRPr="004E6AF1">
        <w:rPr>
          <w:rFonts w:ascii="Century Gothic" w:hAnsi="Century Gothic" w:cs="Arial"/>
          <w:color w:val="000000" w:themeColor="text1"/>
          <w:sz w:val="24"/>
          <w:szCs w:val="24"/>
          <w:shd w:val="clear" w:color="auto" w:fill="FFFFFF"/>
        </w:rPr>
        <w:t xml:space="preserve"> que no quise volver a saber nada del </w:t>
      </w:r>
      <w:r w:rsidR="00E408B3" w:rsidRPr="004E6AF1">
        <w:rPr>
          <w:rFonts w:ascii="Century Gothic" w:hAnsi="Century Gothic" w:cs="Arial"/>
          <w:color w:val="000000" w:themeColor="text1"/>
          <w:sz w:val="24"/>
          <w:szCs w:val="24"/>
          <w:shd w:val="clear" w:color="auto" w:fill="FFFFFF"/>
        </w:rPr>
        <w:t>Mitú</w:t>
      </w:r>
      <w:r w:rsidRPr="004E6AF1">
        <w:rPr>
          <w:rFonts w:ascii="Century Gothic" w:hAnsi="Century Gothic" w:cs="Arial"/>
          <w:color w:val="000000" w:themeColor="text1"/>
          <w:sz w:val="24"/>
          <w:szCs w:val="24"/>
          <w:shd w:val="clear" w:color="auto" w:fill="FFFFFF"/>
        </w:rPr>
        <w:t xml:space="preserve"> por lo que no </w:t>
      </w:r>
      <w:r w:rsidR="00E408B3" w:rsidRPr="004E6AF1">
        <w:rPr>
          <w:rFonts w:ascii="Century Gothic" w:hAnsi="Century Gothic" w:cs="Arial"/>
          <w:color w:val="000000" w:themeColor="text1"/>
          <w:sz w:val="24"/>
          <w:szCs w:val="24"/>
          <w:shd w:val="clear" w:color="auto" w:fill="FFFFFF"/>
        </w:rPr>
        <w:t>volví</w:t>
      </w:r>
      <w:r w:rsidRPr="004E6AF1">
        <w:rPr>
          <w:rFonts w:ascii="Century Gothic" w:hAnsi="Century Gothic" w:cs="Arial"/>
          <w:color w:val="000000" w:themeColor="text1"/>
          <w:sz w:val="24"/>
          <w:szCs w:val="24"/>
          <w:shd w:val="clear" w:color="auto" w:fill="FFFFFF"/>
        </w:rPr>
        <w:t xml:space="preserve"> a ese lugar</w:t>
      </w:r>
      <w:r w:rsidR="00E408B3" w:rsidRPr="004E6AF1">
        <w:rPr>
          <w:rFonts w:ascii="Century Gothic" w:hAnsi="Century Gothic" w:cs="Arial"/>
          <w:color w:val="000000" w:themeColor="text1"/>
          <w:sz w:val="24"/>
          <w:szCs w:val="24"/>
          <w:shd w:val="clear" w:color="auto" w:fill="FFFFFF"/>
        </w:rPr>
        <w:t>.</w:t>
      </w:r>
      <w:r w:rsidRPr="004E6AF1">
        <w:rPr>
          <w:rFonts w:ascii="Century Gothic" w:hAnsi="Century Gothic" w:cs="Arial"/>
          <w:color w:val="000000" w:themeColor="text1"/>
          <w:sz w:val="24"/>
          <w:szCs w:val="24"/>
          <w:shd w:val="clear" w:color="auto" w:fill="FFFFFF"/>
        </w:rPr>
        <w:t xml:space="preserve"> </w:t>
      </w:r>
    </w:p>
    <w:p w:rsidR="00037FEF" w:rsidRPr="004E6AF1" w:rsidRDefault="00037FEF" w:rsidP="003F4291">
      <w:pPr>
        <w:pStyle w:val="Prrafodelista"/>
        <w:numPr>
          <w:ilvl w:val="0"/>
          <w:numId w:val="4"/>
        </w:numPr>
        <w:spacing w:line="360" w:lineRule="auto"/>
        <w:jc w:val="both"/>
        <w:rPr>
          <w:rFonts w:ascii="Century Gothic" w:hAnsi="Century Gothic" w:cs="Arial"/>
          <w:color w:val="000000" w:themeColor="text1"/>
          <w:sz w:val="24"/>
          <w:szCs w:val="24"/>
          <w:shd w:val="clear" w:color="auto" w:fill="FFFFFF"/>
        </w:rPr>
      </w:pPr>
      <w:r w:rsidRPr="004E6AF1">
        <w:rPr>
          <w:rFonts w:ascii="Century Gothic" w:hAnsi="Century Gothic" w:cs="Arial"/>
          <w:color w:val="000000" w:themeColor="text1"/>
          <w:sz w:val="24"/>
          <w:szCs w:val="24"/>
          <w:shd w:val="clear" w:color="auto" w:fill="FFFFFF"/>
        </w:rPr>
        <w:t xml:space="preserve">Tuve conocimiento de declarar que era </w:t>
      </w:r>
      <w:r w:rsidR="00E408B3" w:rsidRPr="004E6AF1">
        <w:rPr>
          <w:rFonts w:ascii="Century Gothic" w:hAnsi="Century Gothic" w:cs="Arial"/>
          <w:color w:val="000000" w:themeColor="text1"/>
          <w:sz w:val="24"/>
          <w:szCs w:val="24"/>
          <w:shd w:val="clear" w:color="auto" w:fill="FFFFFF"/>
        </w:rPr>
        <w:t>víctima</w:t>
      </w:r>
      <w:r w:rsidRPr="004E6AF1">
        <w:rPr>
          <w:rFonts w:ascii="Century Gothic" w:hAnsi="Century Gothic" w:cs="Arial"/>
          <w:color w:val="000000" w:themeColor="text1"/>
          <w:sz w:val="24"/>
          <w:szCs w:val="24"/>
          <w:shd w:val="clear" w:color="auto" w:fill="FFFFFF"/>
        </w:rPr>
        <w:t xml:space="preserve"> en ese momento, pero el miedo se fundamentaba en dos lineam</w:t>
      </w:r>
      <w:r w:rsidR="00C87D4A">
        <w:rPr>
          <w:rFonts w:ascii="Century Gothic" w:hAnsi="Century Gothic" w:cs="Arial"/>
          <w:color w:val="000000" w:themeColor="text1"/>
          <w:sz w:val="24"/>
          <w:szCs w:val="24"/>
          <w:shd w:val="clear" w:color="auto" w:fill="FFFFFF"/>
        </w:rPr>
        <w:t xml:space="preserve">ientos, en principio </w:t>
      </w:r>
      <w:r w:rsidRPr="004E6AF1">
        <w:rPr>
          <w:rFonts w:ascii="Century Gothic" w:hAnsi="Century Gothic" w:cs="Arial"/>
          <w:color w:val="000000" w:themeColor="text1"/>
          <w:sz w:val="24"/>
          <w:szCs w:val="24"/>
          <w:shd w:val="clear" w:color="auto" w:fill="FFFFFF"/>
        </w:rPr>
        <w:t xml:space="preserve">cuando vivía en el </w:t>
      </w:r>
      <w:r w:rsidR="00E408B3" w:rsidRPr="004E6AF1">
        <w:rPr>
          <w:rFonts w:ascii="Century Gothic" w:hAnsi="Century Gothic" w:cs="Arial"/>
          <w:color w:val="000000" w:themeColor="text1"/>
          <w:sz w:val="24"/>
          <w:szCs w:val="24"/>
          <w:shd w:val="clear" w:color="auto" w:fill="FFFFFF"/>
        </w:rPr>
        <w:t>Mitú</w:t>
      </w:r>
      <w:r w:rsidRPr="004E6AF1">
        <w:rPr>
          <w:rFonts w:ascii="Century Gothic" w:hAnsi="Century Gothic" w:cs="Arial"/>
          <w:color w:val="000000" w:themeColor="text1"/>
          <w:sz w:val="24"/>
          <w:szCs w:val="24"/>
          <w:shd w:val="clear" w:color="auto" w:fill="FFFFFF"/>
        </w:rPr>
        <w:t xml:space="preserve"> tuvo bastante contacto con la guerrilla pues en esa época sus compañeros de estudios, familiares como sobrinos que no sabe en este momento si están vivos o muertos se habían un unido al grupo beligerante. Seguido del hecho de que </w:t>
      </w:r>
      <w:r w:rsidR="00E408B3" w:rsidRPr="004E6AF1">
        <w:rPr>
          <w:rFonts w:ascii="Century Gothic" w:hAnsi="Century Gothic" w:cs="Arial"/>
          <w:color w:val="000000" w:themeColor="text1"/>
          <w:sz w:val="24"/>
          <w:szCs w:val="24"/>
          <w:shd w:val="clear" w:color="auto" w:fill="FFFFFF"/>
        </w:rPr>
        <w:t>temía</w:t>
      </w:r>
      <w:r w:rsidRPr="004E6AF1">
        <w:rPr>
          <w:rFonts w:ascii="Century Gothic" w:hAnsi="Century Gothic" w:cs="Arial"/>
          <w:color w:val="000000" w:themeColor="text1"/>
          <w:sz w:val="24"/>
          <w:szCs w:val="24"/>
          <w:shd w:val="clear" w:color="auto" w:fill="FFFFFF"/>
        </w:rPr>
        <w:t xml:space="preserve"> por la vida de su único hijo de 3 años a tal punto que pensé en cierto instante de mi vida cambiar mi nombre y apellidos. </w:t>
      </w:r>
    </w:p>
    <w:p w:rsidR="00F50E3F" w:rsidRDefault="003F4291" w:rsidP="003F4291">
      <w:pPr>
        <w:spacing w:line="360" w:lineRule="auto"/>
        <w:jc w:val="center"/>
        <w:rPr>
          <w:rFonts w:ascii="Century Gothic" w:hAnsi="Century Gothic" w:cs="Arial"/>
          <w:b/>
          <w:color w:val="000000" w:themeColor="text1"/>
          <w:sz w:val="24"/>
          <w:szCs w:val="24"/>
          <w:shd w:val="clear" w:color="auto" w:fill="FFFFFF"/>
        </w:rPr>
      </w:pPr>
      <w:r w:rsidRPr="003F4291">
        <w:rPr>
          <w:rFonts w:ascii="Century Gothic" w:hAnsi="Century Gothic" w:cs="Arial"/>
          <w:b/>
          <w:color w:val="000000" w:themeColor="text1"/>
          <w:sz w:val="24"/>
          <w:szCs w:val="24"/>
          <w:shd w:val="clear" w:color="auto" w:fill="FFFFFF"/>
        </w:rPr>
        <w:t xml:space="preserve">DEL CASO CONCRETO </w:t>
      </w:r>
    </w:p>
    <w:p w:rsidR="003F4291" w:rsidRDefault="003F4291" w:rsidP="003F4291">
      <w:pPr>
        <w:spacing w:line="360" w:lineRule="auto"/>
        <w:jc w:val="both"/>
        <w:rPr>
          <w:rFonts w:ascii="Century Gothic" w:hAnsi="Century Gothic" w:cs="Arial"/>
          <w:lang w:val="es-ES_tradnl"/>
        </w:rPr>
      </w:pPr>
      <w:r>
        <w:rPr>
          <w:rFonts w:ascii="Century Gothic" w:hAnsi="Century Gothic" w:cs="Arial"/>
          <w:b/>
          <w:color w:val="000000" w:themeColor="text1"/>
          <w:sz w:val="24"/>
          <w:szCs w:val="24"/>
          <w:shd w:val="clear" w:color="auto" w:fill="FFFFFF"/>
        </w:rPr>
        <w:t xml:space="preserve"> </w:t>
      </w:r>
      <w:r w:rsidRPr="00F4660D">
        <w:rPr>
          <w:rFonts w:ascii="Century Gothic" w:hAnsi="Century Gothic" w:cs="Arial"/>
          <w:lang w:val="es-ES_tradnl"/>
        </w:rPr>
        <w:t xml:space="preserve">CONSIDERACIONES </w:t>
      </w:r>
      <w:r w:rsidR="007A0C0A" w:rsidRPr="00F4660D">
        <w:rPr>
          <w:rFonts w:ascii="Century Gothic" w:hAnsi="Century Gothic" w:cs="Arial"/>
          <w:lang w:val="es-ES_tradnl"/>
        </w:rPr>
        <w:t xml:space="preserve">DE </w:t>
      </w:r>
      <w:r w:rsidR="007A0C0A">
        <w:rPr>
          <w:rFonts w:ascii="Century Gothic" w:hAnsi="Century Gothic" w:cs="Arial"/>
          <w:lang w:val="es-ES_tradnl"/>
        </w:rPr>
        <w:t>LA</w:t>
      </w:r>
      <w:r>
        <w:rPr>
          <w:rFonts w:ascii="Century Gothic" w:hAnsi="Century Gothic" w:cs="Arial"/>
          <w:lang w:val="es-ES_tradnl"/>
        </w:rPr>
        <w:t xml:space="preserve"> UNIDAD PARA LA ATENCION Y REPARACION INTEGRAL A LAS VICTIMAS.</w:t>
      </w:r>
    </w:p>
    <w:p w:rsidR="003F4291" w:rsidRDefault="003F4291" w:rsidP="003F4291">
      <w:pPr>
        <w:spacing w:line="360" w:lineRule="auto"/>
        <w:jc w:val="both"/>
        <w:rPr>
          <w:rFonts w:ascii="Century Gothic" w:hAnsi="Century Gothic" w:cs="Arial"/>
          <w:lang w:val="es-ES_tradnl"/>
        </w:rPr>
      </w:pPr>
      <w:r>
        <w:rPr>
          <w:rFonts w:ascii="Century Gothic" w:hAnsi="Century Gothic" w:cs="Arial"/>
          <w:lang w:val="es-ES_tradnl"/>
        </w:rPr>
        <w:t xml:space="preserve">Manifiesta la UNIDAD PARA LA ATENCION Y REPARACION INTEGRAL A LAS VICTIMAS que de acuerdo con lo previsto en el </w:t>
      </w:r>
      <w:r w:rsidR="007A0C0A">
        <w:rPr>
          <w:rFonts w:ascii="Century Gothic" w:hAnsi="Century Gothic" w:cs="Arial"/>
          <w:lang w:val="es-ES_tradnl"/>
        </w:rPr>
        <w:t>artículo</w:t>
      </w:r>
      <w:r>
        <w:rPr>
          <w:rFonts w:ascii="Century Gothic" w:hAnsi="Century Gothic" w:cs="Arial"/>
          <w:lang w:val="es-ES_tradnl"/>
        </w:rPr>
        <w:t xml:space="preserve"> 155 de la ley 1448 de 2011, su declaración fue rendida de manera “EXTEMPORANÉA”, es decir para el caso preciso es: fecha de ocurrencia del hecho fue el </w:t>
      </w:r>
      <w:r w:rsidR="007A0C0A">
        <w:rPr>
          <w:rFonts w:ascii="Century Gothic" w:hAnsi="Century Gothic" w:cs="Arial"/>
          <w:lang w:val="es-ES_tradnl"/>
        </w:rPr>
        <w:t>día</w:t>
      </w:r>
      <w:r>
        <w:rPr>
          <w:rFonts w:ascii="Century Gothic" w:hAnsi="Century Gothic" w:cs="Arial"/>
          <w:lang w:val="es-ES_tradnl"/>
        </w:rPr>
        <w:t xml:space="preserve"> 10 de noviembre de 1998 y la fecha de declaración ante la </w:t>
      </w:r>
      <w:r w:rsidR="007A0C0A">
        <w:rPr>
          <w:rFonts w:ascii="Century Gothic" w:hAnsi="Century Gothic" w:cs="Arial"/>
          <w:lang w:val="es-ES_tradnl"/>
        </w:rPr>
        <w:t>procuraduría el</w:t>
      </w:r>
      <w:r>
        <w:rPr>
          <w:rFonts w:ascii="Century Gothic" w:hAnsi="Century Gothic" w:cs="Arial"/>
          <w:lang w:val="es-ES_tradnl"/>
        </w:rPr>
        <w:t xml:space="preserve"> día 13 de octubre de 2016 por lo que </w:t>
      </w:r>
      <w:r w:rsidR="007A0C0A">
        <w:rPr>
          <w:rFonts w:ascii="Century Gothic" w:hAnsi="Century Gothic" w:cs="Arial"/>
          <w:lang w:val="es-ES_tradnl"/>
        </w:rPr>
        <w:lastRenderedPageBreak/>
        <w:t>resuelve</w:t>
      </w:r>
      <w:r>
        <w:rPr>
          <w:rFonts w:ascii="Century Gothic" w:hAnsi="Century Gothic" w:cs="Arial"/>
          <w:lang w:val="es-ES_tradnl"/>
        </w:rPr>
        <w:t xml:space="preserve"> no INCLUIR en el RUV Y NO RECONOCER el hecho </w:t>
      </w:r>
      <w:r w:rsidR="007A0C0A">
        <w:rPr>
          <w:rFonts w:ascii="Century Gothic" w:hAnsi="Century Gothic" w:cs="Arial"/>
          <w:lang w:val="es-ES_tradnl"/>
        </w:rPr>
        <w:t>victimizarte</w:t>
      </w:r>
      <w:r>
        <w:rPr>
          <w:rFonts w:ascii="Century Gothic" w:hAnsi="Century Gothic" w:cs="Arial"/>
          <w:lang w:val="es-ES_tradnl"/>
        </w:rPr>
        <w:t xml:space="preserve"> del desplazamiento forzado. </w:t>
      </w:r>
    </w:p>
    <w:p w:rsidR="00C87D4A" w:rsidRDefault="00C87D4A" w:rsidP="00C87D4A">
      <w:pPr>
        <w:spacing w:line="360" w:lineRule="auto"/>
        <w:jc w:val="center"/>
        <w:rPr>
          <w:rFonts w:ascii="Century Gothic" w:hAnsi="Century Gothic" w:cs="Arial"/>
          <w:b/>
          <w:lang w:val="es-ES_tradnl"/>
        </w:rPr>
      </w:pPr>
      <w:r w:rsidRPr="00C87D4A">
        <w:rPr>
          <w:rFonts w:ascii="Century Gothic" w:hAnsi="Century Gothic" w:cs="Arial"/>
          <w:b/>
          <w:lang w:val="es-ES_tradnl"/>
        </w:rPr>
        <w:t>ARGUMENTACION FACTICA</w:t>
      </w:r>
    </w:p>
    <w:p w:rsidR="00C87D4A" w:rsidRDefault="00C87D4A" w:rsidP="00C87D4A">
      <w:pPr>
        <w:spacing w:line="360" w:lineRule="auto"/>
        <w:jc w:val="center"/>
        <w:rPr>
          <w:rFonts w:ascii="Century Gothic" w:hAnsi="Century Gothic" w:cs="Arial"/>
          <w:b/>
          <w:lang w:val="es-ES_tradnl"/>
        </w:rPr>
      </w:pPr>
    </w:p>
    <w:p w:rsidR="00C87D4A" w:rsidRDefault="00C87D4A" w:rsidP="00C87D4A">
      <w:pPr>
        <w:pStyle w:val="Prrafodelista"/>
        <w:numPr>
          <w:ilvl w:val="0"/>
          <w:numId w:val="6"/>
        </w:numPr>
        <w:spacing w:line="360" w:lineRule="auto"/>
        <w:jc w:val="both"/>
        <w:rPr>
          <w:rFonts w:ascii="Century Gothic" w:hAnsi="Century Gothic" w:cs="Arial"/>
          <w:color w:val="000000" w:themeColor="text1"/>
          <w:sz w:val="24"/>
          <w:szCs w:val="24"/>
          <w:shd w:val="clear" w:color="auto" w:fill="FFFFFF"/>
        </w:rPr>
      </w:pPr>
      <w:r>
        <w:rPr>
          <w:rFonts w:ascii="Century Gothic" w:hAnsi="Century Gothic" w:cs="Arial"/>
          <w:lang w:val="es-ES_tradnl"/>
        </w:rPr>
        <w:t xml:space="preserve">La declaración fue rendida el </w:t>
      </w:r>
      <w:r w:rsidR="007A0C0A">
        <w:rPr>
          <w:rFonts w:ascii="Century Gothic" w:hAnsi="Century Gothic" w:cs="Arial"/>
          <w:lang w:val="es-ES_tradnl"/>
        </w:rPr>
        <w:t>día</w:t>
      </w:r>
      <w:r>
        <w:rPr>
          <w:rFonts w:ascii="Century Gothic" w:hAnsi="Century Gothic" w:cs="Arial"/>
          <w:lang w:val="es-ES_tradnl"/>
        </w:rPr>
        <w:t xml:space="preserve"> 13 de octubre de 2016 ante la PRUCURADURIA DE VILLAVICENCIO, manifiesto que las razones por las cuales no las hice antes fue por el temor</w:t>
      </w:r>
      <w:r w:rsidR="005D3DEF">
        <w:rPr>
          <w:rFonts w:ascii="Century Gothic" w:hAnsi="Century Gothic" w:cs="Arial"/>
          <w:lang w:val="es-ES_tradnl"/>
        </w:rPr>
        <w:t xml:space="preserve"> fundado </w:t>
      </w:r>
      <w:r>
        <w:rPr>
          <w:rFonts w:ascii="Century Gothic" w:hAnsi="Century Gothic" w:cs="Arial"/>
          <w:lang w:val="es-ES_tradnl"/>
        </w:rPr>
        <w:t xml:space="preserve"> y miedo que me causaba declarar, fui víctima de </w:t>
      </w:r>
      <w:r w:rsidR="007A0C0A">
        <w:rPr>
          <w:rFonts w:ascii="Century Gothic" w:hAnsi="Century Gothic" w:cs="Arial"/>
          <w:lang w:val="es-ES_tradnl"/>
        </w:rPr>
        <w:t>amenazas</w:t>
      </w:r>
      <w:r>
        <w:rPr>
          <w:rFonts w:ascii="Century Gothic" w:hAnsi="Century Gothic" w:cs="Arial"/>
          <w:lang w:val="es-ES_tradnl"/>
        </w:rPr>
        <w:t xml:space="preserve"> debido al hecho de que </w:t>
      </w:r>
      <w:r w:rsidRPr="004E6AF1">
        <w:rPr>
          <w:rFonts w:ascii="Century Gothic" w:hAnsi="Century Gothic" w:cs="Arial"/>
          <w:color w:val="000000" w:themeColor="text1"/>
          <w:sz w:val="24"/>
          <w:szCs w:val="24"/>
          <w:shd w:val="clear" w:color="auto" w:fill="FFFFFF"/>
        </w:rPr>
        <w:t>cuando vivía en el Mitú</w:t>
      </w:r>
      <w:r>
        <w:rPr>
          <w:rFonts w:ascii="Century Gothic" w:hAnsi="Century Gothic" w:cs="Arial"/>
          <w:color w:val="000000" w:themeColor="text1"/>
          <w:sz w:val="24"/>
          <w:szCs w:val="24"/>
          <w:shd w:val="clear" w:color="auto" w:fill="FFFFFF"/>
        </w:rPr>
        <w:t xml:space="preserve"> tuve</w:t>
      </w:r>
      <w:r w:rsidRPr="004E6AF1">
        <w:rPr>
          <w:rFonts w:ascii="Century Gothic" w:hAnsi="Century Gothic" w:cs="Arial"/>
          <w:color w:val="000000" w:themeColor="text1"/>
          <w:sz w:val="24"/>
          <w:szCs w:val="24"/>
          <w:shd w:val="clear" w:color="auto" w:fill="FFFFFF"/>
        </w:rPr>
        <w:t xml:space="preserve"> bastante contacto con la guerrilla pues en esa </w:t>
      </w:r>
      <w:r>
        <w:rPr>
          <w:rFonts w:ascii="Century Gothic" w:hAnsi="Century Gothic" w:cs="Arial"/>
          <w:color w:val="000000" w:themeColor="text1"/>
          <w:sz w:val="24"/>
          <w:szCs w:val="24"/>
          <w:shd w:val="clear" w:color="auto" w:fill="FFFFFF"/>
        </w:rPr>
        <w:t xml:space="preserve">época mis compañeros de estudios y </w:t>
      </w:r>
      <w:r w:rsidRPr="004E6AF1">
        <w:rPr>
          <w:rFonts w:ascii="Century Gothic" w:hAnsi="Century Gothic" w:cs="Arial"/>
          <w:color w:val="000000" w:themeColor="text1"/>
          <w:sz w:val="24"/>
          <w:szCs w:val="24"/>
          <w:shd w:val="clear" w:color="auto" w:fill="FFFFFF"/>
        </w:rPr>
        <w:t>familiares como sobrinos</w:t>
      </w:r>
      <w:r>
        <w:rPr>
          <w:rFonts w:ascii="Century Gothic" w:hAnsi="Century Gothic" w:cs="Arial"/>
          <w:color w:val="000000" w:themeColor="text1"/>
          <w:sz w:val="24"/>
          <w:szCs w:val="24"/>
          <w:shd w:val="clear" w:color="auto" w:fill="FFFFFF"/>
        </w:rPr>
        <w:t xml:space="preserve"> </w:t>
      </w:r>
      <w:r w:rsidR="007A0C0A">
        <w:rPr>
          <w:rFonts w:ascii="Century Gothic" w:hAnsi="Century Gothic" w:cs="Arial"/>
          <w:color w:val="000000" w:themeColor="text1"/>
          <w:sz w:val="24"/>
          <w:szCs w:val="24"/>
          <w:shd w:val="clear" w:color="auto" w:fill="FFFFFF"/>
        </w:rPr>
        <w:t>más</w:t>
      </w:r>
      <w:r>
        <w:rPr>
          <w:rFonts w:ascii="Century Gothic" w:hAnsi="Century Gothic" w:cs="Arial"/>
          <w:color w:val="000000" w:themeColor="text1"/>
          <w:sz w:val="24"/>
          <w:szCs w:val="24"/>
          <w:shd w:val="clear" w:color="auto" w:fill="FFFFFF"/>
        </w:rPr>
        <w:t xml:space="preserve"> o menos 10 integrantes,</w:t>
      </w:r>
      <w:r w:rsidRPr="004E6AF1">
        <w:rPr>
          <w:rFonts w:ascii="Century Gothic" w:hAnsi="Century Gothic" w:cs="Arial"/>
          <w:color w:val="000000" w:themeColor="text1"/>
          <w:sz w:val="24"/>
          <w:szCs w:val="24"/>
          <w:shd w:val="clear" w:color="auto" w:fill="FFFFFF"/>
        </w:rPr>
        <w:t xml:space="preserve"> que no sabe en este momento si están vivos o muertos se habían un unido al grupo beligerante. Seguido del hecho de que temía por la vida de su único hijo de 3 años a tal punto que pensé en cierto instante de mi vida cambiar mi nombre y apelli</w:t>
      </w:r>
      <w:r w:rsidR="009147DE">
        <w:rPr>
          <w:rFonts w:ascii="Century Gothic" w:hAnsi="Century Gothic" w:cs="Arial"/>
          <w:color w:val="000000" w:themeColor="text1"/>
          <w:sz w:val="24"/>
          <w:szCs w:val="24"/>
          <w:shd w:val="clear" w:color="auto" w:fill="FFFFFF"/>
        </w:rPr>
        <w:t xml:space="preserve">dos, además cuando llegue a Villavicencio no tuve conocimiento de la ley de </w:t>
      </w:r>
      <w:r w:rsidR="007A0C0A">
        <w:rPr>
          <w:rFonts w:ascii="Century Gothic" w:hAnsi="Century Gothic" w:cs="Arial"/>
          <w:color w:val="000000" w:themeColor="text1"/>
          <w:sz w:val="24"/>
          <w:szCs w:val="24"/>
          <w:shd w:val="clear" w:color="auto" w:fill="FFFFFF"/>
        </w:rPr>
        <w:t>víctimas</w:t>
      </w:r>
      <w:r w:rsidR="009147DE">
        <w:rPr>
          <w:rFonts w:ascii="Century Gothic" w:hAnsi="Century Gothic" w:cs="Arial"/>
          <w:color w:val="000000" w:themeColor="text1"/>
          <w:sz w:val="24"/>
          <w:szCs w:val="24"/>
          <w:shd w:val="clear" w:color="auto" w:fill="FFFFFF"/>
        </w:rPr>
        <w:t xml:space="preserve">  y mi situación </w:t>
      </w:r>
      <w:r w:rsidR="007A0C0A">
        <w:rPr>
          <w:rFonts w:ascii="Century Gothic" w:hAnsi="Century Gothic" w:cs="Arial"/>
          <w:color w:val="000000" w:themeColor="text1"/>
          <w:sz w:val="24"/>
          <w:szCs w:val="24"/>
          <w:shd w:val="clear" w:color="auto" w:fill="FFFFFF"/>
        </w:rPr>
        <w:t>psicológica</w:t>
      </w:r>
      <w:r w:rsidR="009147DE">
        <w:rPr>
          <w:rFonts w:ascii="Century Gothic" w:hAnsi="Century Gothic" w:cs="Arial"/>
          <w:color w:val="000000" w:themeColor="text1"/>
          <w:sz w:val="24"/>
          <w:szCs w:val="24"/>
          <w:shd w:val="clear" w:color="auto" w:fill="FFFFFF"/>
        </w:rPr>
        <w:t xml:space="preserve"> y financiera permeaban mis intenciones de hacer cualquier acción que tuviera que ver con el tema del </w:t>
      </w:r>
      <w:r w:rsidR="007A0C0A">
        <w:rPr>
          <w:rFonts w:ascii="Century Gothic" w:hAnsi="Century Gothic" w:cs="Arial"/>
          <w:color w:val="000000" w:themeColor="text1"/>
          <w:sz w:val="24"/>
          <w:szCs w:val="24"/>
          <w:shd w:val="clear" w:color="auto" w:fill="FFFFFF"/>
        </w:rPr>
        <w:t>mito</w:t>
      </w:r>
      <w:r w:rsidR="009147DE">
        <w:rPr>
          <w:rFonts w:ascii="Century Gothic" w:hAnsi="Century Gothic" w:cs="Arial"/>
          <w:color w:val="000000" w:themeColor="text1"/>
          <w:sz w:val="24"/>
          <w:szCs w:val="24"/>
          <w:shd w:val="clear" w:color="auto" w:fill="FFFFFF"/>
        </w:rPr>
        <w:t xml:space="preserve">, como lo dije en anteriores líneas fue un hecho realmente impactante el tener que esconderme con mi hijo de tan solo 3 años y sobrevivir ante ese </w:t>
      </w:r>
      <w:r w:rsidR="007A0C0A">
        <w:rPr>
          <w:rFonts w:ascii="Century Gothic" w:hAnsi="Century Gothic" w:cs="Arial"/>
          <w:color w:val="000000" w:themeColor="text1"/>
          <w:sz w:val="24"/>
          <w:szCs w:val="24"/>
          <w:shd w:val="clear" w:color="auto" w:fill="FFFFFF"/>
        </w:rPr>
        <w:t>suceso</w:t>
      </w:r>
      <w:r w:rsidR="009147DE">
        <w:rPr>
          <w:rFonts w:ascii="Century Gothic" w:hAnsi="Century Gothic" w:cs="Arial"/>
          <w:color w:val="000000" w:themeColor="text1"/>
          <w:sz w:val="24"/>
          <w:szCs w:val="24"/>
          <w:shd w:val="clear" w:color="auto" w:fill="FFFFFF"/>
        </w:rPr>
        <w:t xml:space="preserve">. </w:t>
      </w:r>
    </w:p>
    <w:p w:rsidR="009147DE" w:rsidRDefault="009147DE" w:rsidP="009147DE">
      <w:pPr>
        <w:pStyle w:val="Prrafodelista"/>
        <w:spacing w:line="360" w:lineRule="auto"/>
        <w:ind w:left="1800"/>
        <w:jc w:val="both"/>
        <w:rPr>
          <w:rFonts w:ascii="Century Gothic" w:hAnsi="Century Gothic" w:cs="Arial"/>
          <w:color w:val="000000" w:themeColor="text1"/>
          <w:sz w:val="24"/>
          <w:szCs w:val="24"/>
          <w:shd w:val="clear" w:color="auto" w:fill="FFFFFF"/>
        </w:rPr>
      </w:pPr>
    </w:p>
    <w:p w:rsidR="009147DE" w:rsidRPr="00F4660D" w:rsidRDefault="009147DE" w:rsidP="009147DE">
      <w:pPr>
        <w:spacing w:line="360" w:lineRule="auto"/>
        <w:jc w:val="center"/>
        <w:rPr>
          <w:rFonts w:ascii="Century Gothic" w:hAnsi="Century Gothic" w:cs="Arial"/>
          <w:b/>
        </w:rPr>
      </w:pPr>
      <w:r w:rsidRPr="00F4660D">
        <w:rPr>
          <w:rFonts w:ascii="Century Gothic" w:hAnsi="Century Gothic" w:cs="Arial"/>
          <w:b/>
        </w:rPr>
        <w:t>ARGUMENTACION JURIDICA</w:t>
      </w:r>
    </w:p>
    <w:p w:rsidR="00E7729C" w:rsidRPr="00F4660D" w:rsidRDefault="00E7729C" w:rsidP="00E7729C">
      <w:pPr>
        <w:spacing w:line="360" w:lineRule="auto"/>
        <w:jc w:val="both"/>
        <w:rPr>
          <w:rFonts w:ascii="Century Gothic" w:hAnsi="Century Gothic"/>
          <w:szCs w:val="20"/>
        </w:rPr>
      </w:pPr>
      <w:r w:rsidRPr="00F4660D">
        <w:rPr>
          <w:rFonts w:ascii="Century Gothic" w:hAnsi="Century Gothic"/>
          <w:szCs w:val="20"/>
        </w:rPr>
        <w:t>Es relevante destacar el carácter fundamental al reconocimiento de la condición de persona víctima del desplazamiento forzado lo cual ha sido objeto de reiteración jurisprudencial.</w:t>
      </w:r>
    </w:p>
    <w:p w:rsidR="00E7729C" w:rsidRPr="00F4660D" w:rsidRDefault="00E7729C" w:rsidP="00E7729C">
      <w:pPr>
        <w:spacing w:line="360" w:lineRule="auto"/>
        <w:jc w:val="both"/>
        <w:rPr>
          <w:rFonts w:ascii="Century Gothic" w:hAnsi="Century Gothic"/>
          <w:szCs w:val="20"/>
        </w:rPr>
      </w:pPr>
    </w:p>
    <w:p w:rsidR="00E7729C" w:rsidRPr="00F4660D" w:rsidRDefault="00E7729C" w:rsidP="00E7729C">
      <w:pPr>
        <w:pStyle w:val="NormalWeb"/>
        <w:spacing w:before="0" w:beforeAutospacing="0" w:after="0" w:afterAutospacing="0" w:line="360" w:lineRule="auto"/>
        <w:jc w:val="both"/>
        <w:outlineLvl w:val="0"/>
        <w:rPr>
          <w:rFonts w:ascii="Century Gothic" w:hAnsi="Century Gothic"/>
          <w:szCs w:val="20"/>
        </w:rPr>
      </w:pPr>
      <w:r w:rsidRPr="00F4660D">
        <w:rPr>
          <w:rFonts w:ascii="Century Gothic" w:hAnsi="Century Gothic"/>
          <w:szCs w:val="20"/>
        </w:rPr>
        <w:lastRenderedPageBreak/>
        <w:t xml:space="preserve">Según el artículo 1° de </w:t>
      </w:r>
      <w:smartTag w:uri="urn:schemas-microsoft-com:office:smarttags" w:element="PersonName">
        <w:smartTagPr>
          <w:attr w:name="ProductID" w:val="la Ley"/>
        </w:smartTagPr>
        <w:r w:rsidRPr="00F4660D">
          <w:rPr>
            <w:rFonts w:ascii="Century Gothic" w:hAnsi="Century Gothic"/>
            <w:szCs w:val="20"/>
          </w:rPr>
          <w:t xml:space="preserve">la </w:t>
        </w:r>
        <w:r w:rsidRPr="00F4660D">
          <w:rPr>
            <w:rFonts w:ascii="Century Gothic" w:hAnsi="Century Gothic"/>
            <w:szCs w:val="28"/>
          </w:rPr>
          <w:t>Ley</w:t>
        </w:r>
      </w:smartTag>
      <w:r w:rsidRPr="00F4660D">
        <w:rPr>
          <w:rFonts w:ascii="Century Gothic" w:hAnsi="Century Gothic"/>
          <w:szCs w:val="28"/>
        </w:rPr>
        <w:t xml:space="preserve"> 387 de 1997</w:t>
      </w:r>
      <w:r w:rsidRPr="00F4660D">
        <w:rPr>
          <w:rFonts w:ascii="Century Gothic" w:hAnsi="Century Gothic"/>
          <w:szCs w:val="20"/>
        </w:rPr>
        <w:t>,  desplazado es “</w:t>
      </w:r>
      <w:r w:rsidRPr="00F4660D">
        <w:rPr>
          <w:rFonts w:ascii="Century Gothic" w:hAnsi="Century Gothic"/>
          <w:i/>
          <w:sz w:val="22"/>
          <w:szCs w:val="22"/>
        </w:rPr>
        <w:t>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cualquiera de las siguientes situaciones: Conflicto armado interno, disturbios y tensiones interiores, violencia generalizada, violaciones masivas de los Derechos Humanos, infracciones al Derecho Internacional Humanitario u otras circunstancias emanadas de las situaciones anteriores que puedan alterar o alteren drásticamente el orden público</w:t>
      </w:r>
      <w:r w:rsidRPr="00F4660D">
        <w:rPr>
          <w:rFonts w:ascii="Century Gothic" w:hAnsi="Century Gothic"/>
          <w:szCs w:val="20"/>
        </w:rPr>
        <w:t>”. En tal sentido mi situación se enmarca dentro de tal normatividad, ya que me vi obligado a dejarlo todo por las amenazas de grupos al margen de la ley, lo que configura una violación a mis derechos humanos.</w:t>
      </w:r>
    </w:p>
    <w:p w:rsidR="00E7729C" w:rsidRPr="00F4660D" w:rsidRDefault="00E7729C" w:rsidP="00E7729C">
      <w:pPr>
        <w:pStyle w:val="NormalWeb"/>
        <w:spacing w:before="0" w:beforeAutospacing="0" w:after="0" w:afterAutospacing="0" w:line="360" w:lineRule="auto"/>
        <w:jc w:val="both"/>
        <w:outlineLvl w:val="0"/>
        <w:rPr>
          <w:rFonts w:ascii="Century Gothic" w:hAnsi="Century Gothic"/>
          <w:szCs w:val="20"/>
        </w:rPr>
      </w:pPr>
    </w:p>
    <w:p w:rsidR="00E7729C" w:rsidRPr="00F4660D" w:rsidRDefault="00E7729C" w:rsidP="00E7729C">
      <w:pPr>
        <w:spacing w:line="360" w:lineRule="auto"/>
        <w:jc w:val="both"/>
        <w:rPr>
          <w:rFonts w:ascii="Century Gothic" w:hAnsi="Century Gothic" w:cs="Arial"/>
          <w:color w:val="000000"/>
        </w:rPr>
      </w:pPr>
      <w:r w:rsidRPr="00F4660D">
        <w:rPr>
          <w:rFonts w:ascii="Century Gothic" w:hAnsi="Century Gothic" w:cs="Arial"/>
          <w:color w:val="000000"/>
        </w:rPr>
        <w:t xml:space="preserve">En reiterada jurisprudencia </w:t>
      </w:r>
      <w:smartTag w:uri="urn:schemas-microsoft-com:office:smarttags" w:element="PersonName">
        <w:smartTagPr>
          <w:attr w:name="ProductID" w:val="la Corte Constitucional"/>
        </w:smartTagPr>
        <w:r w:rsidRPr="00F4660D">
          <w:rPr>
            <w:rFonts w:ascii="Century Gothic" w:hAnsi="Century Gothic" w:cs="Arial"/>
            <w:color w:val="000000"/>
          </w:rPr>
          <w:t>la Corte Constitucional</w:t>
        </w:r>
      </w:smartTag>
      <w:r w:rsidRPr="00F4660D">
        <w:rPr>
          <w:rFonts w:ascii="Century Gothic" w:hAnsi="Century Gothic" w:cs="Arial"/>
          <w:color w:val="000000"/>
        </w:rPr>
        <w:t xml:space="preserve"> ha determinado las características que permiten inferir la situación de desplazamiento (T 265 de 2010 ente otras): 1. el acaecimiento de una causa violenta y el migrar dent</w:t>
      </w:r>
      <w:r>
        <w:rPr>
          <w:rFonts w:ascii="Century Gothic" w:hAnsi="Century Gothic" w:cs="Arial"/>
          <w:color w:val="000000"/>
        </w:rPr>
        <w:t xml:space="preserve">ro del territorio nacional. </w:t>
      </w:r>
    </w:p>
    <w:p w:rsidR="00E7729C" w:rsidRPr="00F4660D" w:rsidRDefault="00E7729C" w:rsidP="00E7729C">
      <w:pPr>
        <w:spacing w:line="360" w:lineRule="auto"/>
        <w:ind w:left="240" w:right="341"/>
        <w:jc w:val="both"/>
        <w:rPr>
          <w:rFonts w:ascii="Century Gothic" w:hAnsi="Century Gothic" w:cs="Arial"/>
          <w:i/>
          <w:color w:val="000000"/>
        </w:rPr>
      </w:pPr>
      <w:r w:rsidRPr="00F4660D">
        <w:rPr>
          <w:rFonts w:ascii="Century Gothic" w:hAnsi="Century Gothic" w:cs="Arial"/>
          <w:color w:val="000000"/>
        </w:rPr>
        <w:t>“</w:t>
      </w:r>
      <w:r w:rsidRPr="00F4660D">
        <w:rPr>
          <w:rFonts w:ascii="Century Gothic" w:hAnsi="Century Gothic" w:cs="Arial"/>
          <w:i/>
          <w:color w:val="000000"/>
        </w:rPr>
        <w:t xml:space="preserve">El desplazamiento, ha dicho esta Corte, </w:t>
      </w:r>
      <w:r w:rsidRPr="00F4660D">
        <w:rPr>
          <w:rFonts w:ascii="Century Gothic" w:hAnsi="Century Gothic" w:cs="Arial"/>
          <w:i/>
          <w:iCs/>
          <w:color w:val="000000"/>
        </w:rPr>
        <w:t xml:space="preserve">“causa un desarraigo de quien es sujeto pasivo del mismo, debido a que es apartado de todo aquello que forma su identidad, como lo es su trabajo, su familia, sus costumbres, su cultura, y es trasladado a un lugar extraño para intentar rehacer lo que fue deshecho por causas ajenas a su voluntad y por la falta de atención del Estado como garante de sus derechos y de su status quo. </w:t>
      </w:r>
    </w:p>
    <w:p w:rsidR="009147DE" w:rsidRPr="00E7729C" w:rsidRDefault="00E7729C" w:rsidP="00E7729C">
      <w:pPr>
        <w:spacing w:line="360" w:lineRule="auto"/>
        <w:ind w:left="240" w:right="341"/>
        <w:jc w:val="both"/>
        <w:rPr>
          <w:rFonts w:ascii="Century Gothic" w:hAnsi="Century Gothic" w:cs="Arial"/>
          <w:i/>
          <w:color w:val="000000"/>
        </w:rPr>
      </w:pPr>
      <w:r w:rsidRPr="00F4660D">
        <w:rPr>
          <w:rFonts w:ascii="Century Gothic" w:hAnsi="Century Gothic" w:cs="Arial"/>
          <w:i/>
          <w:color w:val="000000"/>
        </w:rPr>
        <w:t>Quien es víctima del desplazamiento forzado está expuesto a un nivel mayor de vulnerabilidad y al empobrecimiento y deterioro de las condiciones de vida, por cuanto su situación implica una múltiple vulneración d</w:t>
      </w:r>
      <w:r>
        <w:rPr>
          <w:rFonts w:ascii="Century Gothic" w:hAnsi="Century Gothic" w:cs="Arial"/>
          <w:i/>
          <w:color w:val="000000"/>
        </w:rPr>
        <w:t xml:space="preserve">e los derechos fundamentales”. </w:t>
      </w:r>
    </w:p>
    <w:p w:rsidR="009147DE" w:rsidRDefault="009147DE" w:rsidP="009147DE">
      <w:pPr>
        <w:spacing w:line="360" w:lineRule="auto"/>
        <w:jc w:val="both"/>
        <w:rPr>
          <w:rFonts w:ascii="Century Gothic" w:hAnsi="Century Gothic"/>
        </w:rPr>
      </w:pPr>
      <w:r>
        <w:rPr>
          <w:rFonts w:ascii="Century Gothic" w:hAnsi="Century Gothic"/>
        </w:rPr>
        <w:t xml:space="preserve">Establece la ley (C.C.A., Art. 69) que los actos administrativos deben ser revocados por los mismos funcionarios que los expidieron o por el superior inmediato, de oficio a petición de parte, en cualquiera de los siguientes casos: 1. Cuando es manifiesta </w:t>
      </w:r>
      <w:r>
        <w:rPr>
          <w:rFonts w:ascii="Century Gothic" w:hAnsi="Century Gothic"/>
        </w:rPr>
        <w:lastRenderedPageBreak/>
        <w:t xml:space="preserve">su oposición a </w:t>
      </w:r>
      <w:smartTag w:uri="urn:schemas-microsoft-com:office:smarttags" w:element="PersonName">
        <w:smartTagPr>
          <w:attr w:name="ProductID" w:val="la Constituci￳n"/>
        </w:smartTagPr>
        <w:r>
          <w:rPr>
            <w:rFonts w:ascii="Century Gothic" w:hAnsi="Century Gothic"/>
          </w:rPr>
          <w:t>la Constitución</w:t>
        </w:r>
      </w:smartTag>
      <w:r>
        <w:rPr>
          <w:rFonts w:ascii="Century Gothic" w:hAnsi="Century Gothic"/>
        </w:rPr>
        <w:t xml:space="preserve"> o la ley…3. Cuando causa un agravio injustificado (daño antijurídico) a una persona.</w:t>
      </w:r>
    </w:p>
    <w:p w:rsidR="009147DE" w:rsidRDefault="00E7729C" w:rsidP="009147DE">
      <w:pPr>
        <w:spacing w:line="360" w:lineRule="auto"/>
        <w:jc w:val="both"/>
        <w:rPr>
          <w:rFonts w:ascii="Century Gothic" w:hAnsi="Century Gothic"/>
        </w:rPr>
      </w:pPr>
      <w:r>
        <w:rPr>
          <w:rFonts w:ascii="Century Gothic" w:hAnsi="Century Gothic"/>
        </w:rPr>
        <w:t> </w:t>
      </w:r>
      <w:r w:rsidR="009147DE">
        <w:rPr>
          <w:rFonts w:ascii="Century Gothic" w:hAnsi="Century Gothic"/>
        </w:rPr>
        <w:t xml:space="preserve"> La Unidad Administrativa Especial para la atención y reparación a las víctimas, incurre en las dos previsiones del precepto legal transcritas, lo cual sirve de excelente fundamento a la revocación, como lo demuestro a continuación:</w:t>
      </w:r>
    </w:p>
    <w:p w:rsidR="009147DE" w:rsidRDefault="009147DE" w:rsidP="009147DE">
      <w:pPr>
        <w:spacing w:line="360" w:lineRule="auto"/>
        <w:jc w:val="both"/>
        <w:rPr>
          <w:rFonts w:ascii="Century Gothic" w:hAnsi="Century Gothic"/>
        </w:rPr>
      </w:pPr>
      <w:r>
        <w:rPr>
          <w:rFonts w:ascii="Century Gothic" w:hAnsi="Century Gothic"/>
        </w:rPr>
        <w:t>a) Cuando es manifiesta su oposición a la Constitución o la ley</w:t>
      </w:r>
    </w:p>
    <w:p w:rsidR="009147DE" w:rsidRPr="00E7729C" w:rsidRDefault="00E7729C" w:rsidP="009147DE">
      <w:pPr>
        <w:spacing w:line="360" w:lineRule="auto"/>
        <w:jc w:val="both"/>
        <w:rPr>
          <w:rFonts w:ascii="Century Gothic" w:hAnsi="Century Gothic"/>
          <w:b/>
        </w:rPr>
      </w:pPr>
      <w:r>
        <w:rPr>
          <w:rFonts w:ascii="Century Gothic" w:hAnsi="Century Gothic"/>
          <w:b/>
        </w:rPr>
        <w:t> </w:t>
      </w:r>
      <w:r w:rsidR="009147DE">
        <w:rPr>
          <w:rFonts w:ascii="Century Gothic" w:hAnsi="Century Gothic"/>
        </w:rPr>
        <w:t>Estamos en presencia de una violación fehaciente del Art 3 de la ley de victimas que dispone:</w:t>
      </w:r>
    </w:p>
    <w:p w:rsidR="009147DE" w:rsidRDefault="009147DE" w:rsidP="009147DE">
      <w:pPr>
        <w:spacing w:line="360" w:lineRule="auto"/>
        <w:jc w:val="both"/>
        <w:rPr>
          <w:rFonts w:ascii="Century Gothic" w:hAnsi="Century Gothic"/>
        </w:rPr>
      </w:pPr>
      <w:bookmarkStart w:id="0" w:name="3"/>
      <w:bookmarkStart w:id="1" w:name="_GoBack"/>
      <w:bookmarkEnd w:id="1"/>
      <w:r>
        <w:rPr>
          <w:rFonts w:ascii="Century Gothic" w:hAnsi="Century Gothic"/>
        </w:rPr>
        <w:t>ARTÍCULO 3°.</w:t>
      </w:r>
      <w:bookmarkEnd w:id="0"/>
      <w:r>
        <w:rPr>
          <w:rFonts w:ascii="Century Gothic" w:hAnsi="Century Gothic"/>
        </w:rPr>
        <w:t xml:space="preserve"> Ley 1448 de 2011” </w:t>
      </w:r>
      <w:r>
        <w:rPr>
          <w:rFonts w:ascii="Century Gothic" w:hAnsi="Century Gothic"/>
          <w:i/>
        </w:rPr>
        <w:t xml:space="preserve">Se consideran víctimas, para los efectos de esta ley, aquellas personas que individual o colectivamente hayan sufrido un daño por hechos ocurridos a partir del 1º de enero de 1985, como consecuencia de </w:t>
      </w:r>
      <w:r>
        <w:rPr>
          <w:rFonts w:ascii="Century Gothic" w:hAnsi="Century Gothic"/>
          <w:i/>
          <w:u w:val="single"/>
        </w:rPr>
        <w:t>infracciones al Derecho Internacional Humanitario o de violaciones graves y manifiestas a las normas internacionales de Derechos Humanos</w:t>
      </w:r>
      <w:r>
        <w:rPr>
          <w:rFonts w:ascii="Century Gothic" w:hAnsi="Century Gothic"/>
          <w:i/>
        </w:rPr>
        <w:t xml:space="preserve">, ocurridas con ocasión del conflicto armado </w:t>
      </w:r>
      <w:r w:rsidR="007A0C0A">
        <w:rPr>
          <w:rFonts w:ascii="Century Gothic" w:hAnsi="Century Gothic"/>
          <w:i/>
        </w:rPr>
        <w:t>interno</w:t>
      </w:r>
      <w:r w:rsidR="007A0C0A">
        <w:rPr>
          <w:rFonts w:ascii="Century Gothic" w:hAnsi="Century Gothic" w:cs="Arial"/>
          <w:i/>
        </w:rPr>
        <w:t xml:space="preserve"> </w:t>
      </w:r>
      <w:r w:rsidR="007A0C0A">
        <w:rPr>
          <w:rFonts w:ascii="Century Gothic" w:hAnsi="Century Gothic" w:cs="Arial"/>
        </w:rPr>
        <w:t>“Subrayado</w:t>
      </w:r>
      <w:r>
        <w:rPr>
          <w:rFonts w:ascii="Century Gothic" w:hAnsi="Century Gothic" w:cs="Arial"/>
        </w:rPr>
        <w:t xml:space="preserve"> fuera del texto</w:t>
      </w:r>
    </w:p>
    <w:p w:rsidR="009147DE" w:rsidRPr="00F4660D" w:rsidRDefault="009147DE" w:rsidP="009147DE">
      <w:pPr>
        <w:spacing w:line="360" w:lineRule="auto"/>
        <w:jc w:val="both"/>
        <w:rPr>
          <w:rFonts w:ascii="Century Gothic" w:hAnsi="Century Gothic" w:cs="Arial"/>
          <w:b/>
          <w:lang w:val="es-ES_tradnl"/>
        </w:rPr>
      </w:pPr>
    </w:p>
    <w:p w:rsidR="009147DE" w:rsidRPr="00F4660D" w:rsidRDefault="009147DE" w:rsidP="009147DE">
      <w:pPr>
        <w:spacing w:line="360" w:lineRule="auto"/>
        <w:jc w:val="both"/>
        <w:rPr>
          <w:rFonts w:ascii="Century Gothic" w:hAnsi="Century Gothic"/>
          <w:szCs w:val="20"/>
        </w:rPr>
      </w:pPr>
      <w:r w:rsidRPr="00F4660D">
        <w:rPr>
          <w:rFonts w:ascii="Century Gothic" w:hAnsi="Century Gothic"/>
          <w:szCs w:val="20"/>
        </w:rPr>
        <w:t>Es relevante destacar el carácter fundamental al reconocimiento de la condición de persona víctima del desplazamiento forzado lo cual ha sido objeto de reiteración jurisprudencial.</w:t>
      </w:r>
    </w:p>
    <w:p w:rsidR="009147DE" w:rsidRDefault="009147DE" w:rsidP="009147DE">
      <w:pPr>
        <w:pStyle w:val="NormalWeb"/>
        <w:spacing w:before="0" w:beforeAutospacing="0" w:after="0" w:afterAutospacing="0" w:line="360" w:lineRule="auto"/>
        <w:jc w:val="both"/>
        <w:outlineLvl w:val="0"/>
        <w:rPr>
          <w:rFonts w:ascii="Century Gothic" w:hAnsi="Century Gothic"/>
          <w:szCs w:val="20"/>
        </w:rPr>
      </w:pPr>
      <w:r w:rsidRPr="00F4660D">
        <w:rPr>
          <w:rFonts w:ascii="Century Gothic" w:hAnsi="Century Gothic"/>
          <w:szCs w:val="20"/>
        </w:rPr>
        <w:t>De lo expuesto, se ha de resaltar que la buena fe constituye un elemento primordial en los principios que debe conducir la interpretación de las normas acerca de</w:t>
      </w:r>
      <w:r>
        <w:rPr>
          <w:rFonts w:ascii="Century Gothic" w:hAnsi="Century Gothic"/>
          <w:szCs w:val="20"/>
        </w:rPr>
        <w:t xml:space="preserve"> un hecho victimizante</w:t>
      </w:r>
      <w:r w:rsidRPr="00F4660D">
        <w:rPr>
          <w:rFonts w:ascii="Century Gothic" w:hAnsi="Century Gothic"/>
          <w:szCs w:val="20"/>
        </w:rPr>
        <w:t>.</w:t>
      </w:r>
      <w:r>
        <w:rPr>
          <w:rFonts w:ascii="Century Gothic" w:hAnsi="Century Gothic"/>
          <w:szCs w:val="20"/>
        </w:rPr>
        <w:t xml:space="preserve">  </w:t>
      </w:r>
      <w:r w:rsidRPr="00F4660D">
        <w:rPr>
          <w:rFonts w:ascii="Century Gothic" w:hAnsi="Century Gothic"/>
          <w:szCs w:val="20"/>
        </w:rPr>
        <w:t xml:space="preserve"> Es un criterio que debe guiar el actuar de la autoridad administrativa encargada de disponer el registro y de los operadores jurídicos y, asimismo, es un elemento que se ha de tener en cuenta al momento de considerar si se falta a la verdad en la declaració</w:t>
      </w:r>
      <w:r>
        <w:rPr>
          <w:rFonts w:ascii="Century Gothic" w:hAnsi="Century Gothic"/>
          <w:szCs w:val="20"/>
        </w:rPr>
        <w:t xml:space="preserve">n de quien dice ser </w:t>
      </w:r>
      <w:r w:rsidR="007A0C0A">
        <w:rPr>
          <w:rFonts w:ascii="Century Gothic" w:hAnsi="Century Gothic"/>
          <w:szCs w:val="20"/>
        </w:rPr>
        <w:t>víctima</w:t>
      </w:r>
      <w:r>
        <w:rPr>
          <w:rFonts w:ascii="Century Gothic" w:hAnsi="Century Gothic"/>
          <w:szCs w:val="20"/>
        </w:rPr>
        <w:t xml:space="preserve"> del conflicto armado interno.</w:t>
      </w:r>
    </w:p>
    <w:p w:rsidR="009147DE" w:rsidRDefault="009147DE" w:rsidP="009147DE">
      <w:pPr>
        <w:pStyle w:val="NormalWeb"/>
        <w:spacing w:before="0" w:beforeAutospacing="0" w:after="0" w:afterAutospacing="0" w:line="360" w:lineRule="auto"/>
        <w:jc w:val="both"/>
        <w:outlineLvl w:val="0"/>
        <w:rPr>
          <w:rFonts w:ascii="Century Gothic" w:hAnsi="Century Gothic"/>
          <w:szCs w:val="20"/>
        </w:rPr>
      </w:pPr>
    </w:p>
    <w:p w:rsidR="00C87D4A" w:rsidRDefault="009147DE" w:rsidP="00F51FA7">
      <w:pPr>
        <w:pStyle w:val="NormalWeb"/>
        <w:spacing w:before="0" w:beforeAutospacing="0" w:after="0" w:afterAutospacing="0" w:line="360" w:lineRule="auto"/>
        <w:jc w:val="both"/>
        <w:outlineLvl w:val="0"/>
        <w:rPr>
          <w:rFonts w:ascii="Century Gothic" w:hAnsi="Century Gothic"/>
          <w:szCs w:val="20"/>
        </w:rPr>
      </w:pPr>
      <w:r>
        <w:rPr>
          <w:rFonts w:ascii="Century Gothic" w:hAnsi="Century Gothic"/>
          <w:szCs w:val="20"/>
        </w:rPr>
        <w:t xml:space="preserve">En el caso en concreto considero que se </w:t>
      </w:r>
      <w:r w:rsidR="007A0C0A">
        <w:rPr>
          <w:rFonts w:ascii="Century Gothic" w:hAnsi="Century Gothic"/>
          <w:szCs w:val="20"/>
        </w:rPr>
        <w:t>está</w:t>
      </w:r>
      <w:r>
        <w:rPr>
          <w:rFonts w:ascii="Century Gothic" w:hAnsi="Century Gothic"/>
          <w:szCs w:val="20"/>
        </w:rPr>
        <w:t xml:space="preserve"> vulnerando este principio fundamental, ya que la administración no tuvo en cuenta esos elementos </w:t>
      </w:r>
      <w:r>
        <w:rPr>
          <w:rFonts w:ascii="Century Gothic" w:hAnsi="Century Gothic"/>
          <w:szCs w:val="20"/>
        </w:rPr>
        <w:lastRenderedPageBreak/>
        <w:t xml:space="preserve">facticos y </w:t>
      </w:r>
      <w:r w:rsidR="007A0C0A">
        <w:rPr>
          <w:rFonts w:ascii="Century Gothic" w:hAnsi="Century Gothic"/>
          <w:szCs w:val="20"/>
        </w:rPr>
        <w:t>circunstancias</w:t>
      </w:r>
      <w:r>
        <w:rPr>
          <w:rFonts w:ascii="Century Gothic" w:hAnsi="Century Gothic"/>
          <w:szCs w:val="20"/>
        </w:rPr>
        <w:t xml:space="preserve"> descritas en los hechos, que demuestran claramente que tome la decisión de declarar hasta el año pasado en razón al miedo de que atentaran contra mi vida o contra la de mi propio hijo, que en ese momento era mi única compañía</w:t>
      </w:r>
      <w:r w:rsidR="00F51FA7">
        <w:rPr>
          <w:rFonts w:ascii="Century Gothic" w:hAnsi="Century Gothic"/>
          <w:szCs w:val="20"/>
        </w:rPr>
        <w:t xml:space="preserve"> en razón a </w:t>
      </w:r>
      <w:r w:rsidR="00F51FA7" w:rsidRPr="00F4660D">
        <w:rPr>
          <w:rFonts w:ascii="Century Gothic" w:hAnsi="Century Gothic"/>
          <w:szCs w:val="20"/>
        </w:rPr>
        <w:t xml:space="preserve">que </w:t>
      </w:r>
      <w:r w:rsidR="00F51FA7">
        <w:rPr>
          <w:rFonts w:ascii="Century Gothic" w:hAnsi="Century Gothic"/>
          <w:szCs w:val="20"/>
        </w:rPr>
        <w:t xml:space="preserve">el factor emocional, el temor a represalias contra la vida y la familia  es un verdadero limitante para hablar, es más fácil callar y en algunas ocasiones permitir los abusos, el TEMOR no nos deja libres.  </w:t>
      </w:r>
    </w:p>
    <w:p w:rsidR="00F51FA7" w:rsidRPr="00F51FA7" w:rsidRDefault="00F51FA7" w:rsidP="00F51FA7">
      <w:pPr>
        <w:pStyle w:val="NormalWeb"/>
        <w:spacing w:before="0" w:beforeAutospacing="0" w:after="0" w:afterAutospacing="0" w:line="360" w:lineRule="auto"/>
        <w:jc w:val="both"/>
        <w:outlineLvl w:val="0"/>
        <w:rPr>
          <w:rFonts w:ascii="Century Gothic" w:hAnsi="Century Gothic"/>
          <w:szCs w:val="20"/>
        </w:rPr>
      </w:pPr>
    </w:p>
    <w:p w:rsidR="00AC337F" w:rsidRPr="00F4660D" w:rsidRDefault="00AC337F" w:rsidP="00AC337F">
      <w:pPr>
        <w:pStyle w:val="NormalWeb"/>
        <w:spacing w:before="0" w:beforeAutospacing="0" w:after="0" w:afterAutospacing="0" w:line="360" w:lineRule="auto"/>
        <w:jc w:val="both"/>
        <w:outlineLvl w:val="0"/>
        <w:rPr>
          <w:rFonts w:ascii="Century Gothic" w:hAnsi="Century Gothic"/>
          <w:szCs w:val="20"/>
        </w:rPr>
      </w:pPr>
      <w:r w:rsidRPr="00F4660D">
        <w:rPr>
          <w:rFonts w:ascii="Century Gothic" w:hAnsi="Century Gothic"/>
          <w:szCs w:val="20"/>
        </w:rPr>
        <w:t xml:space="preserve">Al respecto vale la pena señalar lo dispuesto por </w:t>
      </w:r>
      <w:smartTag w:uri="urn:schemas-microsoft-com:office:smarttags" w:element="PersonName">
        <w:smartTagPr>
          <w:attr w:name="ProductID" w:val="la H. Corte"/>
        </w:smartTagPr>
        <w:smartTag w:uri="urn:schemas-microsoft-com:office:smarttags" w:element="PersonName">
          <w:smartTagPr>
            <w:attr w:name="ProductID" w:val="la H."/>
          </w:smartTagPr>
          <w:r w:rsidRPr="00F4660D">
            <w:rPr>
              <w:rFonts w:ascii="Century Gothic" w:hAnsi="Century Gothic"/>
              <w:szCs w:val="20"/>
            </w:rPr>
            <w:t>la H.</w:t>
          </w:r>
        </w:smartTag>
        <w:r w:rsidRPr="00F4660D">
          <w:rPr>
            <w:rFonts w:ascii="Century Gothic" w:hAnsi="Century Gothic"/>
            <w:szCs w:val="20"/>
          </w:rPr>
          <w:t xml:space="preserve"> Corte</w:t>
        </w:r>
      </w:smartTag>
      <w:r w:rsidRPr="00F4660D">
        <w:rPr>
          <w:rFonts w:ascii="Century Gothic" w:hAnsi="Century Gothic"/>
          <w:szCs w:val="20"/>
        </w:rPr>
        <w:t xml:space="preserve"> Constitucional en su sentencia T -141 de 2011:</w:t>
      </w:r>
    </w:p>
    <w:p w:rsidR="00AC337F" w:rsidRPr="00F4660D" w:rsidRDefault="00AC337F" w:rsidP="00AC337F">
      <w:pPr>
        <w:spacing w:line="360" w:lineRule="auto"/>
        <w:ind w:left="480" w:right="461"/>
        <w:jc w:val="both"/>
        <w:rPr>
          <w:rFonts w:ascii="Century Gothic" w:hAnsi="Century Gothic" w:cs="Arial"/>
          <w:i/>
        </w:rPr>
      </w:pPr>
      <w:r w:rsidRPr="00F4660D">
        <w:rPr>
          <w:rFonts w:ascii="Century Gothic" w:hAnsi="Century Gothic" w:cs="Arial"/>
          <w:szCs w:val="20"/>
          <w:lang w:val="es-ES_tradnl"/>
        </w:rPr>
        <w:t>“</w:t>
      </w:r>
      <w:r w:rsidRPr="00F4660D">
        <w:rPr>
          <w:rFonts w:ascii="Century Gothic" w:hAnsi="Century Gothic" w:cs="Arial"/>
          <w:i/>
        </w:rPr>
        <w:t xml:space="preserve">Ahora bien, cuando se trata de sujetos de especial protección constitucional los que solicitan el amparo de sus derechos fundamentales, en este caso, las personas desplazadas por la violencia, esta Corporación ha determinado que el actuar de las instituciones encargadas de conjurar los sufrimientos y los perjuicios derivados del desplazamiento debe estar guiado por una interpretación </w:t>
      </w:r>
      <w:r w:rsidRPr="00B270EC">
        <w:rPr>
          <w:rFonts w:ascii="Century Gothic" w:hAnsi="Century Gothic" w:cs="Arial"/>
          <w:b/>
          <w:i/>
        </w:rPr>
        <w:t>pro homine</w:t>
      </w:r>
      <w:r w:rsidRPr="00F4660D">
        <w:rPr>
          <w:rFonts w:ascii="Century Gothic" w:hAnsi="Century Gothic" w:cs="Arial"/>
          <w:i/>
        </w:rPr>
        <w:t xml:space="preserve"> y ha señalado que para acceder al registro en el sistema único para la población desplazada y a los auxilios que de esta situación se deriva, no se debía exigir una carga probatoria desproporcionada, pues …el desplazado no conoce plenamente sus derechos ni el sistema institucional diseñado para protegerlos y este hecho en lugar de volverse en su contra debe servir para que el Estado actúe con mayor atención y diligencia, requerimiento que es igualmente exigible al juez de tutela, en quien radica con mayor énfasis la protección de los derechos fundamentales. </w:t>
      </w:r>
    </w:p>
    <w:p w:rsidR="00AC337F" w:rsidRPr="005D3DEF" w:rsidRDefault="00AC337F" w:rsidP="00AC337F">
      <w:pPr>
        <w:jc w:val="both"/>
        <w:rPr>
          <w:rFonts w:ascii="Century Gothic" w:hAnsi="Century Gothic"/>
        </w:rPr>
      </w:pPr>
      <w:r>
        <w:rPr>
          <w:rFonts w:ascii="Century Gothic" w:hAnsi="Century Gothic"/>
        </w:rPr>
        <w:t>Al respecto del delito se ha pronu</w:t>
      </w:r>
      <w:r w:rsidR="005D3DEF">
        <w:rPr>
          <w:rFonts w:ascii="Century Gothic" w:hAnsi="Century Gothic"/>
        </w:rPr>
        <w:t xml:space="preserve">nciado la Corte Constitucional: </w:t>
      </w:r>
      <w:r>
        <w:rPr>
          <w:rFonts w:ascii="Century Gothic" w:hAnsi="Century Gothic"/>
          <w:b/>
          <w:i/>
        </w:rPr>
        <w:t>Sentencia C-052/12</w:t>
      </w:r>
    </w:p>
    <w:p w:rsidR="00AC337F" w:rsidRPr="00313595" w:rsidRDefault="00AC337F" w:rsidP="00AC337F">
      <w:pPr>
        <w:jc w:val="both"/>
        <w:rPr>
          <w:rFonts w:ascii="Century Gothic" w:hAnsi="Century Gothic"/>
          <w:i/>
        </w:rPr>
      </w:pPr>
      <w:r w:rsidRPr="00313595">
        <w:rPr>
          <w:rFonts w:ascii="Century Gothic" w:hAnsi="Century Gothic"/>
          <w:i/>
        </w:rPr>
        <w:t>“Se reconoce como víctimas a todas las personas que hubieren sufrido un daño, como consecuencia de los hechos que el mismo precepto determina a continuación. Así, pese a que existen también otros criterios relevantes, el concepto de daño es el más significativo de todos, pues es de la acreditación de su ocurrencia que depende que las personas interesadas logren ser reconocidas como víctimas y accedan a los importantes beneficios establecidos en esta normativa”</w:t>
      </w:r>
    </w:p>
    <w:p w:rsidR="00AC337F" w:rsidRPr="00313595" w:rsidRDefault="00AC337F" w:rsidP="00AC337F">
      <w:pPr>
        <w:jc w:val="both"/>
        <w:rPr>
          <w:rFonts w:ascii="Century Gothic" w:hAnsi="Century Gothic"/>
          <w:i/>
        </w:rPr>
      </w:pPr>
    </w:p>
    <w:p w:rsidR="00AC337F" w:rsidRPr="00313595" w:rsidRDefault="00AC337F" w:rsidP="00AC337F">
      <w:pPr>
        <w:pStyle w:val="NormalWeb"/>
        <w:jc w:val="both"/>
        <w:rPr>
          <w:rFonts w:ascii="Century Gothic" w:hAnsi="Century Gothic" w:cs="Arial"/>
          <w:i/>
          <w:sz w:val="22"/>
          <w:szCs w:val="22"/>
        </w:rPr>
      </w:pPr>
      <w:r w:rsidRPr="00313595">
        <w:rPr>
          <w:rFonts w:ascii="Century Gothic" w:hAnsi="Century Gothic" w:cs="Arial"/>
          <w:i/>
          <w:sz w:val="22"/>
          <w:szCs w:val="22"/>
        </w:rPr>
        <w:t>Más recientemente, mediante Resolución 60/147 de la Asamblea General de la ONU, adoptada el 16 de diciembre de 2005, se acogieron los "</w:t>
      </w:r>
      <w:r w:rsidRPr="00313595">
        <w:rPr>
          <w:rFonts w:ascii="Century Gothic" w:hAnsi="Century Gothic" w:cs="Arial"/>
          <w:i/>
          <w:iCs/>
          <w:sz w:val="22"/>
          <w:szCs w:val="22"/>
        </w:rPr>
        <w:t>Principios y directrices básicos sobre el derecho de las víctimas de violaciones manifiestas de las normas internacionales de derechos humanos y de violaciones graves del derecho internacional humanitario a interponer recursos y obtener reparaciones</w:t>
      </w:r>
      <w:r w:rsidRPr="00313595">
        <w:rPr>
          <w:rFonts w:ascii="Century Gothic" w:hAnsi="Century Gothic" w:cs="Arial"/>
          <w:i/>
          <w:sz w:val="22"/>
          <w:szCs w:val="22"/>
        </w:rPr>
        <w:t xml:space="preserve">. </w:t>
      </w:r>
    </w:p>
    <w:p w:rsidR="00AC337F" w:rsidRPr="00313595" w:rsidRDefault="00AC337F" w:rsidP="00AC337F">
      <w:pPr>
        <w:pStyle w:val="NormalWeb"/>
        <w:jc w:val="both"/>
        <w:rPr>
          <w:rFonts w:ascii="Century Gothic" w:hAnsi="Century Gothic" w:cs="Arial"/>
          <w:sz w:val="22"/>
          <w:szCs w:val="22"/>
        </w:rPr>
      </w:pPr>
      <w:r w:rsidRPr="00313595">
        <w:rPr>
          <w:rFonts w:ascii="Century Gothic" w:hAnsi="Century Gothic" w:cs="Arial"/>
          <w:i/>
          <w:sz w:val="22"/>
          <w:szCs w:val="22"/>
        </w:rPr>
        <w:t xml:space="preserve">(...)Correlativamente, a quien se le reconozca la calidad de víctima, será titular de los siguientes derechos (i) a ser tratada con humanidad y respeto; (ii) a que se adopten medidas encaminadas a garantizar su seguridad, su bienestar físico y psicológico y su intimidad, así como los de sus familias; (iii) a disponer de recursos que le permitan un acceso efectivo a la justicia; (iv) a ser reparado de manera adecuada, efectiva y rápida por el daño sufrido, lo cual comprende, la </w:t>
      </w:r>
      <w:r w:rsidRPr="00313595">
        <w:rPr>
          <w:rFonts w:ascii="Century Gothic" w:hAnsi="Century Gothic" w:cs="Arial"/>
          <w:i/>
          <w:iCs/>
          <w:sz w:val="22"/>
          <w:szCs w:val="22"/>
        </w:rPr>
        <w:t>restitutio in integrum,</w:t>
      </w:r>
      <w:r w:rsidRPr="00313595">
        <w:rPr>
          <w:rFonts w:ascii="Century Gothic" w:hAnsi="Century Gothic" w:cs="Arial"/>
          <w:i/>
          <w:sz w:val="22"/>
          <w:szCs w:val="22"/>
        </w:rPr>
        <w:t xml:space="preserve"> de ser posible, así como una indemnización, medidas de satisfacción, rehabilitación y garantías de no repetición; (v) a acceder a información pertinente sobre las violaciones y los mecanismos de reparación. En pocas palabras, a que le sean garantizados sus derechos fundamentales a la verdad, la justicia y la reparación integral</w:t>
      </w:r>
      <w:r w:rsidRPr="00313595">
        <w:rPr>
          <w:rFonts w:ascii="Century Gothic" w:hAnsi="Century Gothic" w:cs="Arial"/>
          <w:sz w:val="22"/>
          <w:szCs w:val="22"/>
        </w:rPr>
        <w:t xml:space="preserve">” </w:t>
      </w:r>
      <w:r w:rsidRPr="00313595">
        <w:rPr>
          <w:rFonts w:ascii="Century Gothic" w:hAnsi="Century Gothic" w:cs="Arial"/>
          <w:b/>
          <w:sz w:val="22"/>
          <w:szCs w:val="22"/>
        </w:rPr>
        <w:t>Tutela 250 de 2012</w:t>
      </w:r>
      <w:r w:rsidRPr="00313595">
        <w:rPr>
          <w:rFonts w:ascii="Century Gothic" w:hAnsi="Century Gothic" w:cs="Arial"/>
          <w:sz w:val="22"/>
          <w:szCs w:val="22"/>
        </w:rPr>
        <w:t>.</w:t>
      </w:r>
    </w:p>
    <w:p w:rsidR="00AC337F" w:rsidRPr="00313595" w:rsidRDefault="00AC337F" w:rsidP="00AC337F">
      <w:pPr>
        <w:autoSpaceDE w:val="0"/>
        <w:autoSpaceDN w:val="0"/>
        <w:adjustRightInd w:val="0"/>
        <w:jc w:val="both"/>
        <w:rPr>
          <w:rFonts w:ascii="Century Gothic" w:hAnsi="Century Gothic" w:cs="Arial"/>
          <w:i/>
          <w:iCs/>
        </w:rPr>
      </w:pPr>
      <w:r w:rsidRPr="00313595">
        <w:rPr>
          <w:rFonts w:ascii="Century Gothic" w:hAnsi="Century Gothic"/>
        </w:rPr>
        <w:t>“</w:t>
      </w:r>
      <w:r w:rsidRPr="00313595">
        <w:rPr>
          <w:rFonts w:ascii="Century Gothic" w:hAnsi="Century Gothic"/>
          <w:i/>
        </w:rPr>
        <w:t>La reparación se refiere a un conjunto de medidas orientadas a restituir los derechos y mejorar la situación de las víctimas, así como promover reformas políticas que impidan la repetición de las violaciones.  Estas medidas tienen 2 objetivos:  1.  Ayudar a las víctimas a mejorar su situación, a enfrentar las consecuencias de la violencia, reconociendo su dignidad como persona y sus derechos.  2. Mostrar solidaridad con las víctimas y un camino para restablecer su confianza en la sociedad y en las instituciones”.</w:t>
      </w:r>
      <w:r w:rsidRPr="00313595">
        <w:rPr>
          <w:rFonts w:ascii="Century Gothic" w:hAnsi="Century Gothic" w:cs="Arial"/>
          <w:i/>
          <w:iCs/>
        </w:rPr>
        <w:t xml:space="preserve"> </w:t>
      </w:r>
      <w:r w:rsidRPr="00313595">
        <w:rPr>
          <w:rFonts w:ascii="Century Gothic" w:hAnsi="Century Gothic" w:cs="Arial"/>
          <w:b/>
          <w:i/>
          <w:iCs/>
        </w:rPr>
        <w:t>Sala de Justicia y Paz Proceso 2006 80077 Edwar Cobos Téllez y Otro Concierto para delinquir y otros</w:t>
      </w:r>
      <w:r w:rsidRPr="00313595">
        <w:rPr>
          <w:rFonts w:ascii="Century Gothic" w:hAnsi="Century Gothic" w:cs="Arial"/>
          <w:i/>
          <w:iCs/>
        </w:rPr>
        <w:t>.</w:t>
      </w:r>
    </w:p>
    <w:p w:rsidR="00AC337F" w:rsidRPr="00313595" w:rsidRDefault="00AC337F" w:rsidP="00AC337F">
      <w:pPr>
        <w:autoSpaceDE w:val="0"/>
        <w:autoSpaceDN w:val="0"/>
        <w:adjustRightInd w:val="0"/>
        <w:jc w:val="both"/>
        <w:rPr>
          <w:rFonts w:ascii="Century Gothic" w:hAnsi="Century Gothic" w:cs="Arial"/>
          <w:i/>
          <w:iCs/>
        </w:rPr>
      </w:pPr>
    </w:p>
    <w:p w:rsidR="00AC337F" w:rsidRPr="00313595" w:rsidRDefault="00AC337F" w:rsidP="00AC337F">
      <w:pPr>
        <w:autoSpaceDE w:val="0"/>
        <w:autoSpaceDN w:val="0"/>
        <w:adjustRightInd w:val="0"/>
        <w:jc w:val="both"/>
        <w:rPr>
          <w:rFonts w:ascii="Century Gothic" w:hAnsi="Century Gothic" w:cs="Arial"/>
          <w:iCs/>
        </w:rPr>
      </w:pPr>
      <w:r w:rsidRPr="00313595">
        <w:rPr>
          <w:rFonts w:ascii="Century Gothic" w:hAnsi="Century Gothic" w:cs="Arial"/>
          <w:iCs/>
        </w:rPr>
        <w:t>A la luz de lo dispuesto en el derecho internacional de los derechos humanos y en aplicación del bloque de constitucionalidad se traen a colación los siguientes acápites  de sentencias de la Corte Interamericana de Derechos Humanos frente al tema de reparaciones:</w:t>
      </w:r>
    </w:p>
    <w:p w:rsidR="00AC337F" w:rsidRDefault="00AC337F" w:rsidP="00AC337F">
      <w:pPr>
        <w:autoSpaceDE w:val="0"/>
        <w:autoSpaceDN w:val="0"/>
        <w:adjustRightInd w:val="0"/>
        <w:jc w:val="both"/>
        <w:rPr>
          <w:rFonts w:ascii="Century Gothic" w:hAnsi="Century Gothic" w:cs="Arial"/>
          <w:iCs/>
        </w:rPr>
      </w:pPr>
    </w:p>
    <w:p w:rsidR="00AC337F" w:rsidRPr="00313595" w:rsidRDefault="00AC337F" w:rsidP="00AC337F">
      <w:pPr>
        <w:jc w:val="both"/>
        <w:rPr>
          <w:rFonts w:ascii="Century Gothic" w:hAnsi="Century Gothic"/>
          <w:b/>
          <w:bCs/>
          <w:i/>
        </w:rPr>
      </w:pPr>
      <w:r w:rsidRPr="00313595">
        <w:rPr>
          <w:rFonts w:ascii="Century Gothic" w:hAnsi="Century Gothic"/>
          <w:i/>
        </w:rPr>
        <w:t xml:space="preserve">“(…). En cuanto a las condiciones de la reparación, señaló que en la medida de lo posible debía ser plena, es decir debía consistir en el restablecimiento de la situación anterior a la violación; si esto no fuera posible, se indicó que deben adoptarse otras medidas de reparación, entre ellas el pago de una indemnización compensatoria; además, señaló que la reparación implica el otorgamiento de </w:t>
      </w:r>
      <w:r w:rsidRPr="00313595">
        <w:rPr>
          <w:rFonts w:ascii="Century Gothic" w:hAnsi="Century Gothic"/>
          <w:i/>
        </w:rPr>
        <w:lastRenderedPageBreak/>
        <w:t xml:space="preserve">garantías de no repetición. </w:t>
      </w:r>
      <w:r w:rsidRPr="00313595">
        <w:rPr>
          <w:rFonts w:ascii="Century Gothic" w:hAnsi="Century Gothic"/>
          <w:b/>
          <w:bCs/>
          <w:i/>
        </w:rPr>
        <w:t>Sentencia de la Corte</w:t>
      </w:r>
      <w:r w:rsidRPr="00313595">
        <w:rPr>
          <w:rFonts w:ascii="Century Gothic" w:hAnsi="Century Gothic"/>
          <w:i/>
        </w:rPr>
        <w:t xml:space="preserve"> </w:t>
      </w:r>
      <w:r w:rsidRPr="00313595">
        <w:rPr>
          <w:rFonts w:ascii="Century Gothic" w:hAnsi="Century Gothic"/>
          <w:b/>
          <w:bCs/>
          <w:i/>
        </w:rPr>
        <w:t>Interamericana de Derechos Humanos del 15 de junio de 2005</w:t>
      </w:r>
      <w:r w:rsidRPr="00313595">
        <w:rPr>
          <w:rStyle w:val="Refdenotaalpie"/>
          <w:rFonts w:ascii="Century Gothic" w:hAnsi="Century Gothic"/>
          <w:b/>
          <w:bCs/>
          <w:i/>
        </w:rPr>
        <w:footnoteReference w:id="1"/>
      </w:r>
      <w:r w:rsidRPr="00313595">
        <w:rPr>
          <w:rFonts w:ascii="Century Gothic" w:hAnsi="Century Gothic"/>
          <w:b/>
          <w:bCs/>
          <w:i/>
        </w:rPr>
        <w:t>.</w:t>
      </w:r>
    </w:p>
    <w:p w:rsidR="00AC337F" w:rsidRPr="00313595" w:rsidRDefault="00AC337F" w:rsidP="00AC337F">
      <w:pPr>
        <w:jc w:val="both"/>
        <w:rPr>
          <w:rFonts w:ascii="Century Gothic" w:hAnsi="Century Gothic"/>
          <w:i/>
        </w:rPr>
      </w:pPr>
    </w:p>
    <w:p w:rsidR="00AC337F" w:rsidRPr="00313595" w:rsidRDefault="00AC337F" w:rsidP="00AC337F">
      <w:pPr>
        <w:ind w:right="20"/>
        <w:jc w:val="both"/>
        <w:rPr>
          <w:rFonts w:ascii="Century Gothic" w:hAnsi="Century Gothic"/>
          <w:i/>
        </w:rPr>
      </w:pPr>
      <w:r w:rsidRPr="00313595">
        <w:rPr>
          <w:rFonts w:ascii="Century Gothic" w:hAnsi="Century Gothic"/>
          <w:i/>
        </w:rPr>
        <w:t>(…)</w:t>
      </w:r>
      <w:r w:rsidRPr="00313595">
        <w:rPr>
          <w:rFonts w:ascii="Century Gothic" w:hAnsi="Century Gothic"/>
          <w:i/>
        </w:rPr>
        <w:tab/>
        <w:t>Las reparaciones consisten en las medidas que tienden a hacer desaparecer los efectos de las violaciones cometidas.  Su naturaleza y su monto dependen del daño ocasionado en los planos material e inmaterial.  Las reparaciones no pueden implicar ni enriquecimiento ni empobrecimiento para la víctima o sus sucesores</w:t>
      </w:r>
      <w:r w:rsidRPr="00313595">
        <w:rPr>
          <w:rFonts w:ascii="Century Gothic" w:hAnsi="Century Gothic"/>
          <w:i/>
          <w:vertAlign w:val="superscript"/>
        </w:rPr>
        <w:footnoteReference w:id="2"/>
      </w:r>
      <w:r w:rsidRPr="00313595">
        <w:rPr>
          <w:rFonts w:ascii="Century Gothic" w:hAnsi="Century Gothic"/>
          <w:i/>
        </w:rPr>
        <w:t>.”</w:t>
      </w:r>
    </w:p>
    <w:p w:rsidR="00AC337F" w:rsidRPr="00313595" w:rsidRDefault="00AC337F" w:rsidP="00AC337F">
      <w:pPr>
        <w:autoSpaceDE w:val="0"/>
        <w:autoSpaceDN w:val="0"/>
        <w:adjustRightInd w:val="0"/>
        <w:jc w:val="both"/>
        <w:rPr>
          <w:rFonts w:ascii="Century Gothic" w:hAnsi="Century Gothic"/>
          <w:i/>
        </w:rPr>
      </w:pPr>
    </w:p>
    <w:p w:rsidR="00AC337F" w:rsidRPr="00313595" w:rsidRDefault="00AC337F" w:rsidP="00AC337F">
      <w:pPr>
        <w:ind w:right="44"/>
        <w:jc w:val="both"/>
        <w:rPr>
          <w:rFonts w:ascii="Century Gothic" w:hAnsi="Century Gothic"/>
          <w:bCs/>
          <w:iCs/>
        </w:rPr>
      </w:pPr>
      <w:r w:rsidRPr="00313595">
        <w:rPr>
          <w:rFonts w:ascii="Century Gothic" w:hAnsi="Century Gothic"/>
          <w:bCs/>
          <w:iCs/>
        </w:rPr>
        <w:t>En el mismo sentido se ha pronunciado nuestra H. Corte frente al derecho a la reparación:</w:t>
      </w:r>
    </w:p>
    <w:p w:rsidR="00AC337F" w:rsidRPr="00313595" w:rsidRDefault="00AC337F" w:rsidP="00AC337F">
      <w:pPr>
        <w:ind w:right="44"/>
        <w:jc w:val="both"/>
        <w:rPr>
          <w:rFonts w:ascii="Century Gothic" w:hAnsi="Century Gothic"/>
        </w:rPr>
      </w:pPr>
    </w:p>
    <w:p w:rsidR="00AC337F" w:rsidRPr="00313595" w:rsidRDefault="00AC337F" w:rsidP="00AC337F">
      <w:pPr>
        <w:ind w:right="44"/>
        <w:jc w:val="both"/>
        <w:rPr>
          <w:rFonts w:ascii="Century Gothic" w:hAnsi="Century Gothic"/>
          <w:i/>
        </w:rPr>
      </w:pPr>
      <w:r w:rsidRPr="00313595">
        <w:rPr>
          <w:rFonts w:ascii="Century Gothic" w:hAnsi="Century Gothic"/>
          <w:i/>
        </w:rPr>
        <w:t>“Este derecho, dicen los Principios, implica tanto medidas individuales como medidas generales y colectivas. Véase:</w:t>
      </w:r>
    </w:p>
    <w:p w:rsidR="00AC337F" w:rsidRPr="00313595" w:rsidRDefault="00AC337F" w:rsidP="00AC337F">
      <w:pPr>
        <w:ind w:right="44"/>
        <w:jc w:val="both"/>
        <w:rPr>
          <w:rFonts w:ascii="Century Gothic" w:hAnsi="Century Gothic"/>
          <w:i/>
        </w:rPr>
      </w:pPr>
    </w:p>
    <w:p w:rsidR="00AC337F" w:rsidRPr="00313595" w:rsidRDefault="00AC337F" w:rsidP="00AC337F">
      <w:pPr>
        <w:ind w:right="44"/>
        <w:jc w:val="both"/>
        <w:rPr>
          <w:rFonts w:ascii="Century Gothic" w:hAnsi="Century Gothic"/>
          <w:i/>
          <w:iCs/>
          <w:color w:val="000000"/>
        </w:rPr>
      </w:pPr>
      <w:r w:rsidRPr="00313595">
        <w:rPr>
          <w:rFonts w:ascii="Century Gothic" w:hAnsi="Century Gothic"/>
          <w:i/>
          <w:iCs/>
        </w:rPr>
        <w:t>En el plano individual, las víctimas, ya sean víctimas directas, parientes o personas a cargo, deben beneficiarse de un recurso eficaz. (…) E</w:t>
      </w:r>
      <w:r w:rsidRPr="00313595">
        <w:rPr>
          <w:rFonts w:ascii="Century Gothic" w:hAnsi="Century Gothic"/>
          <w:i/>
          <w:iCs/>
          <w:color w:val="000000"/>
        </w:rPr>
        <w:t xml:space="preserve">ste derecho comprende los tres tipos de medidas siguientes: </w:t>
      </w:r>
    </w:p>
    <w:p w:rsidR="00AC337F" w:rsidRPr="00313595" w:rsidRDefault="00AC337F" w:rsidP="00AC337F">
      <w:pPr>
        <w:ind w:left="360"/>
        <w:jc w:val="both"/>
        <w:rPr>
          <w:rFonts w:ascii="Century Gothic" w:hAnsi="Century Gothic"/>
          <w:i/>
          <w:iCs/>
          <w:color w:val="000000"/>
        </w:rPr>
      </w:pPr>
    </w:p>
    <w:p w:rsidR="00AC337F" w:rsidRPr="00313595" w:rsidRDefault="00AC337F" w:rsidP="00AC337F">
      <w:pPr>
        <w:ind w:left="360"/>
        <w:jc w:val="both"/>
        <w:rPr>
          <w:rFonts w:ascii="Century Gothic" w:hAnsi="Century Gothic"/>
          <w:i/>
          <w:iCs/>
          <w:color w:val="000000"/>
        </w:rPr>
      </w:pPr>
      <w:r w:rsidRPr="00313595">
        <w:rPr>
          <w:rFonts w:ascii="Century Gothic" w:hAnsi="Century Gothic"/>
          <w:i/>
          <w:iCs/>
          <w:color w:val="000000"/>
        </w:rPr>
        <w:t xml:space="preserve">a) Medidas de restitución (tendentes a que la víctima pueda volver a la situación anterior a la violación); </w:t>
      </w:r>
    </w:p>
    <w:p w:rsidR="00AC337F" w:rsidRPr="00313595" w:rsidRDefault="00AC337F" w:rsidP="00AC337F">
      <w:pPr>
        <w:ind w:left="360"/>
        <w:jc w:val="both"/>
        <w:rPr>
          <w:rFonts w:ascii="Century Gothic" w:hAnsi="Century Gothic"/>
          <w:i/>
          <w:iCs/>
          <w:color w:val="000000"/>
        </w:rPr>
      </w:pPr>
    </w:p>
    <w:p w:rsidR="00AC337F" w:rsidRPr="00313595" w:rsidRDefault="00AC337F" w:rsidP="00AC337F">
      <w:pPr>
        <w:ind w:left="360"/>
        <w:jc w:val="both"/>
        <w:rPr>
          <w:rFonts w:ascii="Century Gothic" w:hAnsi="Century Gothic"/>
          <w:i/>
          <w:iCs/>
          <w:color w:val="000000"/>
        </w:rPr>
      </w:pPr>
      <w:r w:rsidRPr="00313595">
        <w:rPr>
          <w:rFonts w:ascii="Century Gothic" w:hAnsi="Century Gothic"/>
          <w:i/>
          <w:iCs/>
          <w:color w:val="000000"/>
        </w:rPr>
        <w:t xml:space="preserve">b) Medidas de indemnización (perjuicio psíquico y moral, así como pérdida de una oportunidad, daños materiales, atentados a la reputación y gastos de asistencia jurídica); y </w:t>
      </w:r>
    </w:p>
    <w:p w:rsidR="00AC337F" w:rsidRPr="00313595" w:rsidRDefault="00AC337F" w:rsidP="00AC337F">
      <w:pPr>
        <w:ind w:left="360" w:hanging="360"/>
        <w:jc w:val="both"/>
        <w:rPr>
          <w:rFonts w:ascii="Century Gothic" w:hAnsi="Century Gothic"/>
          <w:i/>
          <w:iCs/>
          <w:color w:val="000000"/>
        </w:rPr>
      </w:pPr>
      <w:r w:rsidRPr="00313595">
        <w:rPr>
          <w:rFonts w:ascii="Century Gothic" w:hAnsi="Century Gothic"/>
          <w:i/>
          <w:iCs/>
          <w:color w:val="000000"/>
        </w:rPr>
        <w:t xml:space="preserve">     </w:t>
      </w:r>
    </w:p>
    <w:p w:rsidR="00AC337F" w:rsidRDefault="00AC337F" w:rsidP="00AC337F">
      <w:pPr>
        <w:ind w:left="360" w:hanging="360"/>
        <w:jc w:val="both"/>
        <w:rPr>
          <w:rFonts w:ascii="Century Gothic" w:hAnsi="Century Gothic"/>
          <w:b/>
          <w:bCs/>
        </w:rPr>
      </w:pPr>
      <w:r w:rsidRPr="00313595">
        <w:rPr>
          <w:rFonts w:ascii="Century Gothic" w:hAnsi="Century Gothic"/>
          <w:i/>
          <w:iCs/>
          <w:color w:val="000000"/>
        </w:rPr>
        <w:lastRenderedPageBreak/>
        <w:t xml:space="preserve">c) Medidas de readaptación (atención médica que comprenda la  atención psicológica y psiquiátrica).” </w:t>
      </w:r>
      <w:r w:rsidRPr="00313595">
        <w:rPr>
          <w:rFonts w:ascii="Century Gothic" w:hAnsi="Century Gothic"/>
          <w:b/>
          <w:bCs/>
          <w:i/>
          <w:lang w:val="es-ES_tradnl"/>
        </w:rPr>
        <w:t>Sentencia C-370/06</w:t>
      </w:r>
      <w:r w:rsidRPr="00313595">
        <w:rPr>
          <w:rFonts w:ascii="Century Gothic" w:hAnsi="Century Gothic"/>
          <w:bCs/>
          <w:i/>
          <w:lang w:val="es-ES_tradnl"/>
        </w:rPr>
        <w:t xml:space="preserve"> </w:t>
      </w:r>
      <w:r w:rsidRPr="00313595">
        <w:rPr>
          <w:rFonts w:ascii="Century Gothic" w:hAnsi="Century Gothic"/>
          <w:b/>
          <w:bCs/>
          <w:i/>
        </w:rPr>
        <w:t>MP. HUMBERTO ANTONIO SIERRA PORTO</w:t>
      </w:r>
      <w:r>
        <w:rPr>
          <w:rFonts w:ascii="Century Gothic" w:hAnsi="Century Gothic"/>
          <w:b/>
          <w:bCs/>
        </w:rPr>
        <w:t>”.</w:t>
      </w:r>
    </w:p>
    <w:p w:rsidR="005D3DEF" w:rsidRDefault="005D3DEF" w:rsidP="00AC337F">
      <w:pPr>
        <w:ind w:left="360" w:hanging="360"/>
        <w:jc w:val="both"/>
        <w:rPr>
          <w:rFonts w:ascii="Century Gothic" w:hAnsi="Century Gothic"/>
          <w:b/>
          <w:bCs/>
        </w:rPr>
      </w:pPr>
    </w:p>
    <w:p w:rsidR="005D3DEF" w:rsidRPr="005D3DEF" w:rsidRDefault="005D3DEF" w:rsidP="005D3DEF">
      <w:pPr>
        <w:ind w:left="360" w:hanging="360"/>
        <w:jc w:val="both"/>
        <w:rPr>
          <w:rFonts w:ascii="Century Gothic" w:hAnsi="Century Gothic"/>
          <w:bCs/>
        </w:rPr>
      </w:pPr>
      <w:r>
        <w:rPr>
          <w:rFonts w:ascii="Century Gothic" w:hAnsi="Century Gothic"/>
          <w:bCs/>
        </w:rPr>
        <w:t xml:space="preserve">       </w:t>
      </w:r>
      <w:r w:rsidRPr="005D3DEF">
        <w:rPr>
          <w:rFonts w:ascii="Century Gothic" w:hAnsi="Century Gothic"/>
          <w:bCs/>
        </w:rPr>
        <w:t xml:space="preserve">Cabe </w:t>
      </w:r>
      <w:r>
        <w:rPr>
          <w:rFonts w:ascii="Century Gothic" w:hAnsi="Century Gothic"/>
          <w:bCs/>
        </w:rPr>
        <w:t>resaltar que la Corte constitu</w:t>
      </w:r>
      <w:r w:rsidRPr="005D3DEF">
        <w:rPr>
          <w:rFonts w:ascii="Century Gothic" w:hAnsi="Century Gothic"/>
          <w:bCs/>
        </w:rPr>
        <w:t xml:space="preserve">cional ha expresado en sentencia T  </w:t>
      </w:r>
      <w:r>
        <w:rPr>
          <w:rFonts w:ascii="Century Gothic" w:hAnsi="Century Gothic"/>
          <w:bCs/>
        </w:rPr>
        <w:t xml:space="preserve">que  </w:t>
      </w:r>
      <w:r w:rsidRPr="005D3DEF">
        <w:rPr>
          <w:rFonts w:ascii="Century Gothic" w:hAnsi="Century Gothic"/>
          <w:bCs/>
        </w:rPr>
        <w:t>deben entender unas características que comparten la mayoría de victimas afectadas por el desplazamiento forzado</w:t>
      </w:r>
      <w:r>
        <w:rPr>
          <w:rFonts w:ascii="Century Gothic" w:hAnsi="Century Gothic"/>
          <w:bCs/>
        </w:rPr>
        <w:t xml:space="preserve"> y la jurisprudencia de la Corte lo resume así:</w:t>
      </w:r>
    </w:p>
    <w:p w:rsidR="005D3DEF" w:rsidRPr="005D3DEF" w:rsidRDefault="005D3DEF" w:rsidP="005D3DEF">
      <w:pPr>
        <w:shd w:val="clear" w:color="auto" w:fill="FFFFFF"/>
        <w:spacing w:after="0" w:line="240" w:lineRule="auto"/>
        <w:ind w:right="51"/>
        <w:jc w:val="both"/>
        <w:textAlignment w:val="baseline"/>
        <w:rPr>
          <w:rFonts w:ascii="Century Gothic" w:eastAsia="Times New Roman" w:hAnsi="Century Gothic" w:cs="Times New Roman"/>
          <w:color w:val="2D2D2D"/>
          <w:sz w:val="24"/>
          <w:szCs w:val="28"/>
          <w:lang w:eastAsia="es-CO"/>
        </w:rPr>
      </w:pPr>
      <w:r w:rsidRPr="005D3DEF">
        <w:rPr>
          <w:rFonts w:ascii="Times New Roman" w:eastAsia="Times New Roman" w:hAnsi="Times New Roman" w:cs="Times New Roman"/>
          <w:color w:val="2D2D2D"/>
          <w:sz w:val="28"/>
          <w:szCs w:val="28"/>
          <w:lang w:eastAsia="es-CO"/>
        </w:rPr>
        <w:t> </w:t>
      </w:r>
    </w:p>
    <w:p w:rsidR="005D3DEF" w:rsidRPr="005D3DEF" w:rsidRDefault="005D3DEF" w:rsidP="005D3DEF">
      <w:pPr>
        <w:shd w:val="clear" w:color="auto" w:fill="FFFFFF"/>
        <w:spacing w:after="0" w:line="240" w:lineRule="auto"/>
        <w:ind w:left="708" w:right="-57"/>
        <w:jc w:val="both"/>
        <w:textAlignment w:val="baseline"/>
        <w:rPr>
          <w:rFonts w:ascii="Century Gothic" w:eastAsia="Times New Roman" w:hAnsi="Century Gothic" w:cs="Times New Roman"/>
          <w:color w:val="2D2D2D"/>
          <w:sz w:val="24"/>
          <w:szCs w:val="28"/>
          <w:lang w:eastAsia="es-CO"/>
        </w:rPr>
      </w:pPr>
      <w:r w:rsidRPr="005D3DEF">
        <w:rPr>
          <w:rFonts w:ascii="Century Gothic" w:eastAsia="Times New Roman" w:hAnsi="Century Gothic" w:cs="Times New Roman"/>
          <w:i/>
          <w:iCs/>
          <w:color w:val="2D2D2D"/>
          <w:sz w:val="24"/>
          <w:szCs w:val="28"/>
          <w:bdr w:val="none" w:sz="0" w:space="0" w:color="auto" w:frame="1"/>
          <w:lang w:eastAsia="es-CO"/>
        </w:rPr>
        <w:t>“</w:t>
      </w:r>
      <w:r w:rsidRPr="005D3DEF">
        <w:rPr>
          <w:rFonts w:ascii="Century Gothic" w:eastAsia="Times New Roman" w:hAnsi="Century Gothic" w:cs="Times New Roman"/>
          <w:color w:val="2D2D2D"/>
          <w:sz w:val="24"/>
          <w:szCs w:val="28"/>
          <w:lang w:eastAsia="es-CO"/>
        </w:rPr>
        <w:t>(i)</w:t>
      </w:r>
      <w:r w:rsidRPr="005D3DEF">
        <w:rPr>
          <w:rFonts w:ascii="Century Gothic" w:eastAsia="Times New Roman" w:hAnsi="Century Gothic" w:cs="Times New Roman"/>
          <w:i/>
          <w:iCs/>
          <w:color w:val="2D2D2D"/>
          <w:sz w:val="24"/>
          <w:szCs w:val="28"/>
          <w:bdr w:val="none" w:sz="0" w:space="0" w:color="auto" w:frame="1"/>
          <w:lang w:eastAsia="es-CO"/>
        </w:rPr>
        <w:t> la mayoría de las personas desplazadas por la violencia provienen de ambientes donde la educación a la que tuvieron acceso es exigua -motivo por el cual el grado de analfabetismo es alto-; </w:t>
      </w:r>
      <w:r w:rsidRPr="005D3DEF">
        <w:rPr>
          <w:rFonts w:ascii="Century Gothic" w:eastAsia="Times New Roman" w:hAnsi="Century Gothic" w:cs="Times New Roman"/>
          <w:color w:val="2D2D2D"/>
          <w:sz w:val="24"/>
          <w:szCs w:val="28"/>
          <w:lang w:eastAsia="es-CO"/>
        </w:rPr>
        <w:t>(ii)</w:t>
      </w:r>
      <w:r w:rsidRPr="005D3DEF">
        <w:rPr>
          <w:rFonts w:ascii="Century Gothic" w:eastAsia="Times New Roman" w:hAnsi="Century Gothic" w:cs="Times New Roman"/>
          <w:i/>
          <w:iCs/>
          <w:color w:val="2D2D2D"/>
          <w:sz w:val="24"/>
          <w:szCs w:val="28"/>
          <w:bdr w:val="none" w:sz="0" w:space="0" w:color="auto" w:frame="1"/>
          <w:lang w:eastAsia="es-CO"/>
        </w:rPr>
        <w:t> en muchas ocasiones quien es desplazado por la violencia proviene de contextos en los cuales se ha educado a las personas en una especie de ‘temor reverencial’ hacia las autoridades públicas; </w:t>
      </w:r>
      <w:r w:rsidRPr="005D3DEF">
        <w:rPr>
          <w:rFonts w:ascii="Century Gothic" w:eastAsia="Times New Roman" w:hAnsi="Century Gothic" w:cs="Times New Roman"/>
          <w:color w:val="2D2D2D"/>
          <w:sz w:val="24"/>
          <w:szCs w:val="28"/>
          <w:lang w:eastAsia="es-CO"/>
        </w:rPr>
        <w:t>(iii) </w:t>
      </w:r>
      <w:r w:rsidRPr="005D3DEF">
        <w:rPr>
          <w:rFonts w:ascii="Century Gothic" w:eastAsia="Times New Roman" w:hAnsi="Century Gothic" w:cs="Times New Roman"/>
          <w:i/>
          <w:iCs/>
          <w:color w:val="2D2D2D"/>
          <w:sz w:val="24"/>
          <w:szCs w:val="28"/>
          <w:bdr w:val="none" w:sz="0" w:space="0" w:color="auto" w:frame="1"/>
          <w:lang w:eastAsia="es-CO"/>
        </w:rPr>
        <w:t>en el momento de rendir un testimonio ante las autoridades, el grado de espontaneidad y claridad con el que podrían hacerlo se reduce considerablemente; </w:t>
      </w:r>
      <w:r w:rsidRPr="005D3DEF">
        <w:rPr>
          <w:rFonts w:ascii="Century Gothic" w:eastAsia="Times New Roman" w:hAnsi="Century Gothic" w:cs="Times New Roman"/>
          <w:color w:val="2D2D2D"/>
          <w:sz w:val="24"/>
          <w:szCs w:val="28"/>
          <w:lang w:eastAsia="es-CO"/>
        </w:rPr>
        <w:t>(iv) </w:t>
      </w:r>
      <w:r w:rsidRPr="005D3DEF">
        <w:rPr>
          <w:rFonts w:ascii="Century Gothic" w:eastAsia="Times New Roman" w:hAnsi="Century Gothic" w:cs="Times New Roman"/>
          <w:i/>
          <w:iCs/>
          <w:color w:val="2D2D2D"/>
          <w:sz w:val="24"/>
          <w:szCs w:val="28"/>
          <w:bdr w:val="none" w:sz="0" w:space="0" w:color="auto" w:frame="1"/>
          <w:lang w:eastAsia="es-CO"/>
        </w:rPr>
        <w:t>a las circunstancias del entorno de origen de los desplazados, se añaden las secuelas de la violencia. No es fácil superar el trauma causado por los hechos generadores del desplazamiento forzado. Esta situación puede conllevar traumas sicológicos, heridas físicas y afectivas de difícil recuperación, además de la inminente violación de derechos humanos que se da desde que la persona es víctima del delito de desplazamiento que pueden influir en el desenvolvimiento del desplazado al momento de rendir la declaración; </w:t>
      </w:r>
      <w:r w:rsidRPr="005D3DEF">
        <w:rPr>
          <w:rFonts w:ascii="Century Gothic" w:eastAsia="Times New Roman" w:hAnsi="Century Gothic" w:cs="Times New Roman"/>
          <w:color w:val="2D2D2D"/>
          <w:sz w:val="24"/>
          <w:szCs w:val="28"/>
          <w:lang w:eastAsia="es-CO"/>
        </w:rPr>
        <w:t>y (v) </w:t>
      </w:r>
      <w:r w:rsidRPr="005D3DEF">
        <w:rPr>
          <w:rFonts w:ascii="Century Gothic" w:eastAsia="Times New Roman" w:hAnsi="Century Gothic" w:cs="Times New Roman"/>
          <w:i/>
          <w:iCs/>
          <w:color w:val="2D2D2D"/>
          <w:sz w:val="24"/>
          <w:szCs w:val="28"/>
          <w:bdr w:val="none" w:sz="0" w:space="0" w:color="auto" w:frame="1"/>
          <w:lang w:eastAsia="es-CO"/>
        </w:rPr>
        <w:t>el temor de denunciar los hechos que dieron lugar al desplazamiento hace que no exista espontaneidad en su declaración.”</w:t>
      </w:r>
    </w:p>
    <w:p w:rsidR="005D3DEF" w:rsidRPr="00AC337F" w:rsidRDefault="005D3DEF" w:rsidP="00AC337F">
      <w:pPr>
        <w:ind w:left="360" w:hanging="360"/>
        <w:jc w:val="both"/>
        <w:rPr>
          <w:rFonts w:ascii="Century Gothic" w:hAnsi="Century Gothic"/>
          <w:b/>
          <w:bCs/>
        </w:rPr>
      </w:pPr>
    </w:p>
    <w:p w:rsidR="00AC337F" w:rsidRDefault="00AC337F" w:rsidP="00AC337F">
      <w:pPr>
        <w:jc w:val="both"/>
        <w:rPr>
          <w:rFonts w:ascii="Century Gothic" w:hAnsi="Century Gothic"/>
        </w:rPr>
      </w:pPr>
    </w:p>
    <w:p w:rsidR="00AC337F" w:rsidRPr="00840198" w:rsidRDefault="00AC337F" w:rsidP="00AC337F">
      <w:pPr>
        <w:jc w:val="center"/>
        <w:rPr>
          <w:rFonts w:ascii="Century Gothic" w:hAnsi="Century Gothic"/>
          <w:b/>
        </w:rPr>
      </w:pPr>
      <w:r>
        <w:rPr>
          <w:rFonts w:ascii="Century Gothic" w:hAnsi="Century Gothic"/>
          <w:b/>
        </w:rPr>
        <w:t>PETICIÓN</w:t>
      </w:r>
    </w:p>
    <w:p w:rsidR="00AC337F" w:rsidRPr="00840198" w:rsidRDefault="00AC337F" w:rsidP="00AC337F">
      <w:pPr>
        <w:jc w:val="both"/>
        <w:rPr>
          <w:rFonts w:ascii="Century Gothic" w:hAnsi="Century Gothic"/>
          <w:b/>
        </w:rPr>
      </w:pPr>
      <w:r w:rsidRPr="00840198">
        <w:rPr>
          <w:rFonts w:ascii="Century Gothic" w:hAnsi="Century Gothic"/>
          <w:b/>
        </w:rPr>
        <w:t> </w:t>
      </w:r>
    </w:p>
    <w:p w:rsidR="00AC337F" w:rsidRPr="00840198" w:rsidRDefault="00AC337F" w:rsidP="00AC337F">
      <w:pPr>
        <w:ind w:left="708"/>
        <w:jc w:val="both"/>
        <w:rPr>
          <w:rFonts w:ascii="Century Gothic" w:hAnsi="Century Gothic"/>
        </w:rPr>
      </w:pPr>
      <w:r w:rsidRPr="00840198">
        <w:rPr>
          <w:rFonts w:ascii="Century Gothic" w:hAnsi="Century Gothic"/>
        </w:rPr>
        <w:t xml:space="preserve">Con base en las anteriores reflexiones, pido se </w:t>
      </w:r>
      <w:r w:rsidRPr="00840198">
        <w:rPr>
          <w:rFonts w:ascii="Century Gothic" w:hAnsi="Century Gothic"/>
          <w:b/>
        </w:rPr>
        <w:t>REVOQUE LA DECISIÓN</w:t>
      </w:r>
      <w:r w:rsidRPr="00840198">
        <w:rPr>
          <w:rFonts w:ascii="Century Gothic" w:hAnsi="Century Gothic"/>
        </w:rPr>
        <w:t xml:space="preserve"> de no </w:t>
      </w:r>
      <w:r>
        <w:rPr>
          <w:rFonts w:ascii="Century Gothic" w:hAnsi="Century Gothic"/>
        </w:rPr>
        <w:t>reconocerme como víctima e</w:t>
      </w:r>
      <w:r w:rsidRPr="00840198">
        <w:rPr>
          <w:rFonts w:ascii="Century Gothic" w:hAnsi="Century Gothic"/>
        </w:rPr>
        <w:t>n la resolución DE LA REFERENCIA y en su defecto se incluya mi caso en el Registro Único de Victimas RUV y se me reconozca la reparación administrativa según los términos de la ley 1448 de 2011 por cuanto con esa conducta se está violando flagrantemente mis derechos a la reparación integral, a la dignidad a la igualdad, a la verdad y justicia.</w:t>
      </w:r>
    </w:p>
    <w:p w:rsidR="00AC337F" w:rsidRPr="00840198" w:rsidRDefault="00AC337F" w:rsidP="00AC337F">
      <w:pPr>
        <w:spacing w:line="360" w:lineRule="auto"/>
        <w:jc w:val="both"/>
        <w:rPr>
          <w:rFonts w:ascii="Century Gothic" w:hAnsi="Century Gothic" w:cs="Arial"/>
          <w:lang w:val="es-ES_tradnl"/>
        </w:rPr>
      </w:pPr>
    </w:p>
    <w:p w:rsidR="00AC337F" w:rsidRPr="00840198" w:rsidRDefault="00AC337F" w:rsidP="00AC337F">
      <w:pPr>
        <w:ind w:left="708"/>
        <w:jc w:val="both"/>
        <w:rPr>
          <w:rFonts w:ascii="Century Gothic" w:hAnsi="Century Gothic" w:cs="Arial"/>
          <w:lang w:val="es-ES_tradnl"/>
        </w:rPr>
      </w:pPr>
      <w:r w:rsidRPr="00840198">
        <w:rPr>
          <w:rFonts w:ascii="Century Gothic" w:hAnsi="Century Gothic" w:cs="Arial"/>
          <w:lang w:val="es-ES_tradnl"/>
        </w:rPr>
        <w:lastRenderedPageBreak/>
        <w:t xml:space="preserve">De acuerdo con lo anteriormente expuesto, teniendo en cuenta las garantías al principio constitucional del debido proceso, buena fe, dignidad igualdad y favorabilidad, y dada mi calidad de </w:t>
      </w:r>
      <w:r>
        <w:rPr>
          <w:rFonts w:ascii="Century Gothic" w:hAnsi="Century Gothic" w:cs="Arial"/>
          <w:lang w:val="es-ES_tradnl"/>
        </w:rPr>
        <w:t xml:space="preserve">víctima de la </w:t>
      </w:r>
      <w:r w:rsidRPr="00840198">
        <w:rPr>
          <w:rFonts w:ascii="Century Gothic" w:hAnsi="Century Gothic" w:cs="Arial"/>
          <w:lang w:val="es-ES_tradnl"/>
        </w:rPr>
        <w:t xml:space="preserve">violencia la cual no me es dada por el registro, requiero, o mejor dicho es mi derecho fundamental,  la reparación integral de mis derechos humanos vulnerados como </w:t>
      </w:r>
      <w:r w:rsidRPr="00840198">
        <w:rPr>
          <w:rFonts w:ascii="Century Gothic" w:hAnsi="Century Gothic" w:cs="Arial"/>
          <w:lang w:val="es-ES_tradnl"/>
        </w:rPr>
        <w:t>víctima</w:t>
      </w:r>
      <w:r w:rsidRPr="00840198">
        <w:rPr>
          <w:rFonts w:ascii="Century Gothic" w:hAnsi="Century Gothic" w:cs="Arial"/>
          <w:lang w:val="es-ES_tradnl"/>
        </w:rPr>
        <w:t xml:space="preserve"> del conflicto armado que vive este País. </w:t>
      </w:r>
    </w:p>
    <w:p w:rsidR="00AC337F" w:rsidRPr="00840198" w:rsidRDefault="00AC337F" w:rsidP="00AC337F">
      <w:pPr>
        <w:jc w:val="both"/>
        <w:rPr>
          <w:rFonts w:ascii="Century Gothic" w:hAnsi="Century Gothic" w:cs="Arial"/>
          <w:lang w:val="es-ES_tradnl"/>
        </w:rPr>
      </w:pPr>
    </w:p>
    <w:p w:rsidR="00AC337F" w:rsidRPr="00840198" w:rsidRDefault="00AC337F" w:rsidP="00AC337F">
      <w:pPr>
        <w:spacing w:line="360" w:lineRule="auto"/>
        <w:jc w:val="center"/>
        <w:rPr>
          <w:rFonts w:ascii="Century Gothic" w:hAnsi="Century Gothic"/>
          <w:b/>
          <w:lang w:val="es-ES_tradnl"/>
        </w:rPr>
      </w:pPr>
      <w:r w:rsidRPr="00840198">
        <w:rPr>
          <w:rFonts w:ascii="Century Gothic" w:hAnsi="Century Gothic" w:cs="Arial"/>
          <w:b/>
          <w:lang w:val="es-ES_tradnl"/>
        </w:rPr>
        <w:t>PRUEBAS</w:t>
      </w:r>
    </w:p>
    <w:p w:rsidR="00AC337F" w:rsidRPr="00840198" w:rsidRDefault="00AC337F" w:rsidP="00AC337F">
      <w:pPr>
        <w:pStyle w:val="NormalWeb"/>
        <w:numPr>
          <w:ilvl w:val="0"/>
          <w:numId w:val="7"/>
        </w:numPr>
        <w:tabs>
          <w:tab w:val="left" w:pos="1755"/>
        </w:tabs>
        <w:spacing w:before="0" w:beforeAutospacing="0" w:after="0" w:afterAutospacing="0" w:line="360" w:lineRule="auto"/>
        <w:jc w:val="both"/>
        <w:rPr>
          <w:rFonts w:ascii="Century Gothic" w:hAnsi="Century Gothic" w:cs="Arial"/>
          <w:sz w:val="22"/>
          <w:szCs w:val="22"/>
          <w:lang w:val="es-ES_tradnl"/>
        </w:rPr>
      </w:pPr>
      <w:r w:rsidRPr="00840198">
        <w:rPr>
          <w:rFonts w:ascii="Century Gothic" w:hAnsi="Century Gothic" w:cs="Arial"/>
          <w:sz w:val="22"/>
          <w:szCs w:val="22"/>
          <w:lang w:val="es-ES_tradnl"/>
        </w:rPr>
        <w:t>Copia Resolución No. 2013-320534 del  29 de noviembre del 2013</w:t>
      </w:r>
    </w:p>
    <w:p w:rsidR="00AC337F" w:rsidRPr="00840198" w:rsidRDefault="00AC337F" w:rsidP="00AC337F">
      <w:pPr>
        <w:pStyle w:val="NormalWeb"/>
        <w:numPr>
          <w:ilvl w:val="0"/>
          <w:numId w:val="7"/>
        </w:numPr>
        <w:tabs>
          <w:tab w:val="left" w:pos="1755"/>
        </w:tabs>
        <w:spacing w:before="0" w:beforeAutospacing="0" w:after="0" w:afterAutospacing="0" w:line="360" w:lineRule="auto"/>
        <w:jc w:val="both"/>
        <w:rPr>
          <w:rFonts w:ascii="Century Gothic" w:hAnsi="Century Gothic" w:cs="Arial"/>
          <w:sz w:val="22"/>
          <w:szCs w:val="22"/>
          <w:lang w:val="es-ES_tradnl"/>
        </w:rPr>
      </w:pPr>
      <w:r w:rsidRPr="00840198">
        <w:rPr>
          <w:rFonts w:ascii="Century Gothic" w:hAnsi="Century Gothic" w:cs="Arial"/>
          <w:sz w:val="22"/>
          <w:szCs w:val="22"/>
          <w:lang w:val="es-ES_tradnl"/>
        </w:rPr>
        <w:t>Copia Cedula ciudadanía</w:t>
      </w:r>
    </w:p>
    <w:p w:rsidR="00AC337F" w:rsidRDefault="00AC337F" w:rsidP="00AC337F">
      <w:pPr>
        <w:pStyle w:val="NormalWeb"/>
        <w:numPr>
          <w:ilvl w:val="0"/>
          <w:numId w:val="7"/>
        </w:numPr>
        <w:tabs>
          <w:tab w:val="left" w:pos="1755"/>
        </w:tabs>
        <w:spacing w:before="0" w:beforeAutospacing="0" w:after="0" w:afterAutospacing="0" w:line="360" w:lineRule="auto"/>
        <w:jc w:val="both"/>
        <w:rPr>
          <w:rFonts w:ascii="Century Gothic" w:hAnsi="Century Gothic" w:cs="Arial"/>
          <w:sz w:val="22"/>
          <w:szCs w:val="22"/>
          <w:lang w:val="es-ES_tradnl"/>
        </w:rPr>
      </w:pPr>
      <w:r w:rsidRPr="00840198">
        <w:rPr>
          <w:rFonts w:ascii="Century Gothic" w:hAnsi="Century Gothic" w:cs="Arial"/>
          <w:sz w:val="22"/>
          <w:szCs w:val="22"/>
          <w:lang w:val="es-ES_tradnl"/>
        </w:rPr>
        <w:t xml:space="preserve">Fotocopia del registro Civil de Nacimiento de </w:t>
      </w:r>
      <w:r>
        <w:rPr>
          <w:rFonts w:ascii="Century Gothic" w:hAnsi="Century Gothic" w:cs="Arial"/>
          <w:sz w:val="22"/>
          <w:szCs w:val="22"/>
          <w:lang w:val="es-ES_tradnl"/>
        </w:rPr>
        <w:t xml:space="preserve">MARTHA CECILIA SILVA CARVAJAL. </w:t>
      </w:r>
    </w:p>
    <w:p w:rsidR="00AC337F" w:rsidRDefault="00AC337F" w:rsidP="00AC337F">
      <w:pPr>
        <w:pStyle w:val="NormalWeb"/>
        <w:tabs>
          <w:tab w:val="left" w:pos="1755"/>
        </w:tabs>
        <w:spacing w:before="0" w:beforeAutospacing="0" w:after="0" w:afterAutospacing="0" w:line="360" w:lineRule="auto"/>
        <w:ind w:left="1080"/>
        <w:jc w:val="both"/>
        <w:rPr>
          <w:rFonts w:ascii="Century Gothic" w:hAnsi="Century Gothic" w:cs="Arial"/>
          <w:sz w:val="22"/>
          <w:szCs w:val="22"/>
          <w:lang w:val="es-ES_tradnl"/>
        </w:rPr>
      </w:pPr>
    </w:p>
    <w:p w:rsidR="00AC337F" w:rsidRPr="00840198" w:rsidRDefault="00AC337F" w:rsidP="00AC337F">
      <w:pPr>
        <w:pStyle w:val="NormalWeb"/>
        <w:spacing w:before="0" w:beforeAutospacing="0" w:after="0" w:afterAutospacing="0" w:line="360" w:lineRule="auto"/>
        <w:outlineLvl w:val="0"/>
        <w:rPr>
          <w:rFonts w:ascii="Century Gothic" w:hAnsi="Century Gothic" w:cs="Arial"/>
          <w:b/>
          <w:sz w:val="22"/>
          <w:szCs w:val="22"/>
          <w:lang w:val="es-ES_tradnl"/>
        </w:rPr>
      </w:pPr>
    </w:p>
    <w:p w:rsidR="00AC337F" w:rsidRPr="00840198" w:rsidRDefault="00AC337F" w:rsidP="00AC337F">
      <w:pPr>
        <w:pStyle w:val="NormalWeb"/>
        <w:spacing w:before="0" w:beforeAutospacing="0" w:after="0" w:afterAutospacing="0" w:line="360" w:lineRule="auto"/>
        <w:jc w:val="center"/>
        <w:outlineLvl w:val="0"/>
        <w:rPr>
          <w:rFonts w:ascii="Century Gothic" w:hAnsi="Century Gothic" w:cs="Arial"/>
          <w:b/>
          <w:sz w:val="22"/>
          <w:szCs w:val="22"/>
          <w:lang w:val="es-ES_tradnl"/>
        </w:rPr>
      </w:pPr>
      <w:r w:rsidRPr="00840198">
        <w:rPr>
          <w:rFonts w:ascii="Century Gothic" w:hAnsi="Century Gothic" w:cs="Arial"/>
          <w:b/>
          <w:sz w:val="22"/>
          <w:szCs w:val="22"/>
          <w:lang w:val="es-ES_tradnl"/>
        </w:rPr>
        <w:t>NOTIFICACIONES</w:t>
      </w:r>
    </w:p>
    <w:p w:rsidR="00AC337F" w:rsidRPr="00840198" w:rsidRDefault="00AC337F" w:rsidP="00AC337F">
      <w:pPr>
        <w:pStyle w:val="NormalWeb"/>
        <w:spacing w:before="0" w:beforeAutospacing="0" w:after="0" w:afterAutospacing="0" w:line="360" w:lineRule="auto"/>
        <w:jc w:val="both"/>
        <w:rPr>
          <w:rFonts w:ascii="Century Gothic" w:hAnsi="Century Gothic" w:cs="Arial"/>
          <w:sz w:val="22"/>
          <w:szCs w:val="22"/>
          <w:lang w:val="es-ES_tradnl"/>
        </w:rPr>
      </w:pPr>
      <w:r w:rsidRPr="00840198">
        <w:rPr>
          <w:rFonts w:ascii="Century Gothic" w:hAnsi="Century Gothic" w:cs="Arial"/>
          <w:sz w:val="22"/>
          <w:szCs w:val="22"/>
          <w:lang w:val="es-ES_tradnl"/>
        </w:rPr>
        <w:t xml:space="preserve">Recibiré notificaciones </w:t>
      </w:r>
      <w:r>
        <w:rPr>
          <w:rFonts w:ascii="Century Gothic" w:hAnsi="Century Gothic" w:cs="Arial"/>
          <w:sz w:val="22"/>
          <w:szCs w:val="22"/>
          <w:lang w:val="es-ES_tradnl"/>
        </w:rPr>
        <w:t xml:space="preserve">en la Carrera 45 Sur 17 A 03 Mz 2 </w:t>
      </w:r>
      <w:r w:rsidR="007A0C0A">
        <w:rPr>
          <w:rFonts w:ascii="Century Gothic" w:hAnsi="Century Gothic" w:cs="Arial"/>
          <w:sz w:val="22"/>
          <w:szCs w:val="22"/>
          <w:lang w:val="es-ES_tradnl"/>
        </w:rPr>
        <w:t xml:space="preserve">casa 6B Barrio María Paz. </w:t>
      </w:r>
      <w:r w:rsidRPr="00840198">
        <w:rPr>
          <w:rFonts w:ascii="Century Gothic" w:hAnsi="Century Gothic" w:cs="Arial"/>
          <w:sz w:val="22"/>
          <w:szCs w:val="22"/>
          <w:lang w:val="es-ES_tradnl"/>
        </w:rPr>
        <w:t>Celular</w:t>
      </w:r>
      <w:r w:rsidR="007A0C0A">
        <w:rPr>
          <w:rFonts w:ascii="Century Gothic" w:hAnsi="Century Gothic" w:cs="Arial"/>
          <w:sz w:val="22"/>
          <w:szCs w:val="22"/>
          <w:lang w:val="es-ES_tradnl"/>
        </w:rPr>
        <w:t>.  3212236840-3107485833</w:t>
      </w:r>
    </w:p>
    <w:p w:rsidR="00AC337F" w:rsidRDefault="00AC337F" w:rsidP="00AC337F">
      <w:pPr>
        <w:pStyle w:val="NormalWeb"/>
        <w:spacing w:before="0" w:beforeAutospacing="0" w:after="0" w:afterAutospacing="0" w:line="360" w:lineRule="auto"/>
        <w:jc w:val="both"/>
        <w:rPr>
          <w:rFonts w:ascii="Century Gothic" w:hAnsi="Century Gothic" w:cs="Arial"/>
          <w:lang w:val="es-ES_tradnl"/>
        </w:rPr>
      </w:pPr>
    </w:p>
    <w:p w:rsidR="00AC337F" w:rsidRPr="00F4660D" w:rsidRDefault="00AC337F" w:rsidP="00AC337F">
      <w:pPr>
        <w:pStyle w:val="NormalWeb"/>
        <w:spacing w:before="0" w:beforeAutospacing="0" w:after="0" w:afterAutospacing="0" w:line="360" w:lineRule="auto"/>
        <w:jc w:val="both"/>
        <w:rPr>
          <w:rFonts w:ascii="Century Gothic" w:hAnsi="Century Gothic" w:cs="Arial"/>
          <w:lang w:val="es-ES_tradnl"/>
        </w:rPr>
      </w:pPr>
      <w:r w:rsidRPr="00F4660D">
        <w:rPr>
          <w:rFonts w:ascii="Century Gothic" w:hAnsi="Century Gothic" w:cs="Arial"/>
          <w:lang w:val="es-ES_tradnl"/>
        </w:rPr>
        <w:t>Respetuosamente,</w:t>
      </w:r>
    </w:p>
    <w:p w:rsidR="00AC337F" w:rsidRDefault="00AC337F" w:rsidP="00AC337F">
      <w:pPr>
        <w:spacing w:line="360" w:lineRule="auto"/>
        <w:jc w:val="center"/>
        <w:outlineLvl w:val="0"/>
        <w:rPr>
          <w:rFonts w:ascii="Century Gothic" w:hAnsi="Century Gothic" w:cs="Arial"/>
          <w:b/>
          <w:lang w:val="es-ES_tradnl"/>
        </w:rPr>
      </w:pPr>
    </w:p>
    <w:p w:rsidR="007A0C0A" w:rsidRPr="007A0C0A" w:rsidRDefault="007A0C0A" w:rsidP="00AC337F">
      <w:pPr>
        <w:spacing w:line="360" w:lineRule="auto"/>
        <w:jc w:val="center"/>
        <w:outlineLvl w:val="0"/>
        <w:rPr>
          <w:rFonts w:ascii="Century Gothic" w:hAnsi="Century Gothic" w:cs="Arial"/>
          <w:b/>
          <w:lang w:val="es-ES_tradnl"/>
        </w:rPr>
      </w:pPr>
    </w:p>
    <w:p w:rsidR="00AC337F" w:rsidRPr="007A0C0A" w:rsidRDefault="007A0C0A" w:rsidP="007A0C0A">
      <w:pPr>
        <w:spacing w:line="360" w:lineRule="auto"/>
        <w:jc w:val="center"/>
        <w:rPr>
          <w:rFonts w:ascii="Century Gothic" w:hAnsi="Century Gothic"/>
          <w:b/>
        </w:rPr>
      </w:pPr>
      <w:r w:rsidRPr="007A0C0A">
        <w:rPr>
          <w:rFonts w:ascii="Century Gothic" w:hAnsi="Century Gothic"/>
          <w:b/>
        </w:rPr>
        <w:t>MARTHA CECILIA SILVA CARVAJAL</w:t>
      </w:r>
    </w:p>
    <w:p w:rsidR="007A0C0A" w:rsidRPr="007A0C0A" w:rsidRDefault="007A0C0A" w:rsidP="007A0C0A">
      <w:pPr>
        <w:spacing w:line="360" w:lineRule="auto"/>
        <w:jc w:val="center"/>
        <w:rPr>
          <w:rFonts w:ascii="Century Gothic" w:hAnsi="Century Gothic" w:cs="Arial"/>
          <w:b/>
        </w:rPr>
      </w:pPr>
      <w:r w:rsidRPr="007A0C0A">
        <w:rPr>
          <w:rFonts w:ascii="Century Gothic" w:hAnsi="Century Gothic"/>
          <w:b/>
        </w:rPr>
        <w:t xml:space="preserve">CC. </w:t>
      </w:r>
      <w:r w:rsidRPr="007A0C0A">
        <w:rPr>
          <w:rFonts w:ascii="Century Gothic" w:hAnsi="Century Gothic" w:cs="Arial"/>
          <w:b/>
          <w:color w:val="000000" w:themeColor="text1"/>
          <w:sz w:val="24"/>
          <w:szCs w:val="24"/>
          <w:shd w:val="clear" w:color="auto" w:fill="FFFFFF"/>
        </w:rPr>
        <w:t xml:space="preserve">C.C. </w:t>
      </w:r>
      <w:r w:rsidRPr="007A0C0A">
        <w:rPr>
          <w:rFonts w:ascii="Century Gothic" w:hAnsi="Century Gothic" w:cs="Arial"/>
          <w:b/>
          <w:sz w:val="24"/>
          <w:szCs w:val="24"/>
        </w:rPr>
        <w:t>69801418 de Mitú</w:t>
      </w:r>
    </w:p>
    <w:p w:rsidR="003F4291" w:rsidRPr="003F4291" w:rsidRDefault="003F4291" w:rsidP="003F4291">
      <w:pPr>
        <w:spacing w:line="360" w:lineRule="auto"/>
        <w:rPr>
          <w:rFonts w:ascii="Century Gothic" w:hAnsi="Century Gothic" w:cs="Arial"/>
          <w:b/>
          <w:color w:val="000000" w:themeColor="text1"/>
          <w:sz w:val="24"/>
          <w:szCs w:val="24"/>
          <w:shd w:val="clear" w:color="auto" w:fill="FFFFFF"/>
          <w:lang w:val="es-ES_tradnl"/>
        </w:rPr>
      </w:pPr>
    </w:p>
    <w:p w:rsidR="00F50E3F" w:rsidRPr="004E6AF1" w:rsidRDefault="00F50E3F" w:rsidP="001A5294">
      <w:pPr>
        <w:jc w:val="both"/>
        <w:rPr>
          <w:rFonts w:ascii="Century Gothic" w:hAnsi="Century Gothic" w:cs="Arial"/>
          <w:color w:val="000000" w:themeColor="text1"/>
          <w:sz w:val="24"/>
          <w:szCs w:val="24"/>
          <w:shd w:val="clear" w:color="auto" w:fill="FFFFFF"/>
        </w:rPr>
      </w:pPr>
    </w:p>
    <w:p w:rsidR="00F50E3F" w:rsidRPr="004E6AF1" w:rsidRDefault="00F50E3F" w:rsidP="001A5294">
      <w:pPr>
        <w:jc w:val="both"/>
        <w:rPr>
          <w:rFonts w:ascii="Century Gothic" w:hAnsi="Century Gothic" w:cs="Arial"/>
          <w:color w:val="000000" w:themeColor="text1"/>
          <w:sz w:val="24"/>
          <w:szCs w:val="24"/>
          <w:shd w:val="clear" w:color="auto" w:fill="FFFFFF"/>
        </w:rPr>
      </w:pPr>
    </w:p>
    <w:p w:rsidR="00F50E3F" w:rsidRPr="004E6AF1" w:rsidRDefault="00F50E3F" w:rsidP="001A5294">
      <w:pPr>
        <w:jc w:val="both"/>
        <w:rPr>
          <w:rFonts w:ascii="Century Gothic" w:hAnsi="Century Gothic" w:cs="Arial"/>
          <w:color w:val="000000" w:themeColor="text1"/>
          <w:sz w:val="24"/>
          <w:szCs w:val="24"/>
          <w:shd w:val="clear" w:color="auto" w:fill="FFFFFF"/>
        </w:rPr>
      </w:pPr>
    </w:p>
    <w:p w:rsidR="00C3414C" w:rsidRPr="004E6AF1" w:rsidRDefault="008F0B13" w:rsidP="001A5294">
      <w:pPr>
        <w:jc w:val="both"/>
        <w:rPr>
          <w:rFonts w:ascii="Century Gothic" w:hAnsi="Century Gothic" w:cs="Arial"/>
          <w:color w:val="000000" w:themeColor="text1"/>
          <w:sz w:val="24"/>
          <w:szCs w:val="24"/>
          <w:shd w:val="clear" w:color="auto" w:fill="FFFFFF"/>
        </w:rPr>
      </w:pPr>
      <w:r w:rsidRPr="004E6AF1">
        <w:rPr>
          <w:rFonts w:ascii="Century Gothic" w:hAnsi="Century Gothic" w:cs="Tahoma"/>
          <w:color w:val="000000" w:themeColor="text1"/>
          <w:sz w:val="24"/>
        </w:rPr>
        <w:br/>
      </w:r>
    </w:p>
    <w:sectPr w:rsidR="00C3414C" w:rsidRPr="004E6A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9D" w:rsidRDefault="009C7A9D" w:rsidP="00AC337F">
      <w:pPr>
        <w:spacing w:after="0" w:line="240" w:lineRule="auto"/>
      </w:pPr>
      <w:r>
        <w:separator/>
      </w:r>
    </w:p>
  </w:endnote>
  <w:endnote w:type="continuationSeparator" w:id="0">
    <w:p w:rsidR="009C7A9D" w:rsidRDefault="009C7A9D" w:rsidP="00AC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9D" w:rsidRDefault="009C7A9D" w:rsidP="00AC337F">
      <w:pPr>
        <w:spacing w:after="0" w:line="240" w:lineRule="auto"/>
      </w:pPr>
      <w:r>
        <w:separator/>
      </w:r>
    </w:p>
  </w:footnote>
  <w:footnote w:type="continuationSeparator" w:id="0">
    <w:p w:rsidR="009C7A9D" w:rsidRDefault="009C7A9D" w:rsidP="00AC337F">
      <w:pPr>
        <w:spacing w:after="0" w:line="240" w:lineRule="auto"/>
      </w:pPr>
      <w:r>
        <w:continuationSeparator/>
      </w:r>
    </w:p>
  </w:footnote>
  <w:footnote w:id="1">
    <w:p w:rsidR="00AC337F" w:rsidRDefault="00AC337F" w:rsidP="00AC337F">
      <w:pPr>
        <w:pStyle w:val="Textonotapie"/>
        <w:jc w:val="both"/>
        <w:rPr>
          <w:rFonts w:ascii="Century Gothic" w:hAnsi="Century Gothic"/>
          <w:sz w:val="18"/>
          <w:szCs w:val="18"/>
        </w:rPr>
      </w:pPr>
      <w:r>
        <w:rPr>
          <w:rStyle w:val="Refdenotaalpie"/>
          <w:rFonts w:ascii="Century Gothic" w:hAnsi="Century Gothic"/>
          <w:sz w:val="18"/>
          <w:szCs w:val="18"/>
        </w:rPr>
        <w:footnoteRef/>
      </w:r>
      <w:r>
        <w:rPr>
          <w:rFonts w:ascii="Century Gothic" w:hAnsi="Century Gothic"/>
          <w:sz w:val="18"/>
          <w:szCs w:val="18"/>
        </w:rPr>
        <w:t xml:space="preserve"> Caso comunidad Moiwana vs. Suriname. Los hechos que dieron lugar al proceso consistieron en que las fuerzas armadas de Suriname aracaron la comunidad N’djuka Maroon de Moiwana.  Los soldados masacraron a más de 40 hombres, mujeres y niños, y arrasaron la comunidad.  Los que lograron escapar huyeron a los bosques circundantes, y después fueron exiliados o internamente desplazados.  A la fecha de la presentación de la demanda no había habido una investigación adecuada de la masacre, nadie habría sido juzgado ni sancionado, y los sobrevivientes permanecerían desplazados de sus tierras.</w:t>
      </w:r>
    </w:p>
  </w:footnote>
  <w:footnote w:id="2">
    <w:p w:rsidR="00AC337F" w:rsidRDefault="00AC337F" w:rsidP="00AC337F">
      <w:pPr>
        <w:pStyle w:val="Textonotapie"/>
        <w:jc w:val="both"/>
        <w:rPr>
          <w:rFonts w:ascii="Century Gothic" w:hAnsi="Century Gothic"/>
          <w:sz w:val="18"/>
          <w:szCs w:val="18"/>
        </w:rPr>
      </w:pPr>
      <w:r>
        <w:rPr>
          <w:rStyle w:val="Refdenotaalpie"/>
          <w:rFonts w:ascii="Century Gothic" w:hAnsi="Century Gothic"/>
          <w:sz w:val="18"/>
          <w:szCs w:val="18"/>
        </w:rPr>
        <w:footnoteRef/>
      </w:r>
      <w:r>
        <w:rPr>
          <w:rFonts w:ascii="Century Gothic" w:hAnsi="Century Gothic"/>
          <w:sz w:val="18"/>
          <w:szCs w:val="18"/>
        </w:rPr>
        <w:t xml:space="preserve"> </w:t>
      </w:r>
      <w:r>
        <w:rPr>
          <w:rFonts w:ascii="Century Gothic" w:hAnsi="Century Gothic"/>
          <w:i/>
          <w:iCs/>
          <w:sz w:val="18"/>
          <w:szCs w:val="18"/>
        </w:rPr>
        <w:t>Caso  de las Hermanas Serrano Cruz</w:t>
      </w:r>
      <w:r>
        <w:rPr>
          <w:rFonts w:ascii="Century Gothic" w:hAnsi="Century Gothic"/>
          <w:sz w:val="18"/>
          <w:szCs w:val="18"/>
        </w:rPr>
        <w:t xml:space="preserve">, </w:t>
      </w:r>
      <w:r>
        <w:rPr>
          <w:rFonts w:ascii="Century Gothic" w:hAnsi="Century Gothic"/>
          <w:i/>
          <w:iCs/>
          <w:sz w:val="18"/>
          <w:szCs w:val="18"/>
        </w:rPr>
        <w:t>supra</w:t>
      </w:r>
      <w:r>
        <w:rPr>
          <w:rFonts w:ascii="Century Gothic" w:hAnsi="Century Gothic"/>
          <w:sz w:val="18"/>
          <w:szCs w:val="18"/>
        </w:rPr>
        <w:t xml:space="preserve"> nota 9, párr. 136; </w:t>
      </w:r>
      <w:r>
        <w:rPr>
          <w:rFonts w:ascii="Century Gothic" w:hAnsi="Century Gothic"/>
          <w:i/>
          <w:iCs/>
          <w:sz w:val="18"/>
          <w:szCs w:val="18"/>
        </w:rPr>
        <w:t>Caso Carpio Nicolle y otros</w:t>
      </w:r>
      <w:r>
        <w:rPr>
          <w:rFonts w:ascii="Century Gothic" w:hAnsi="Century Gothic"/>
          <w:sz w:val="18"/>
          <w:szCs w:val="18"/>
        </w:rPr>
        <w:t xml:space="preserve">, </w:t>
      </w:r>
      <w:r>
        <w:rPr>
          <w:rFonts w:ascii="Century Gothic" w:hAnsi="Century Gothic"/>
          <w:i/>
          <w:iCs/>
          <w:sz w:val="18"/>
          <w:szCs w:val="18"/>
        </w:rPr>
        <w:t>supra</w:t>
      </w:r>
      <w:r>
        <w:rPr>
          <w:rFonts w:ascii="Century Gothic" w:hAnsi="Century Gothic"/>
          <w:sz w:val="18"/>
          <w:szCs w:val="18"/>
        </w:rPr>
        <w:t xml:space="preserve"> nota 82, párr. 89; y </w:t>
      </w:r>
      <w:r>
        <w:rPr>
          <w:rFonts w:ascii="Century Gothic" w:hAnsi="Century Gothic"/>
          <w:i/>
          <w:iCs/>
          <w:sz w:val="18"/>
          <w:szCs w:val="18"/>
        </w:rPr>
        <w:t>Caso Tibi</w:t>
      </w:r>
      <w:r>
        <w:rPr>
          <w:rFonts w:ascii="Century Gothic" w:hAnsi="Century Gothic"/>
          <w:sz w:val="18"/>
          <w:szCs w:val="18"/>
        </w:rPr>
        <w:t>. Sentencia de 7 de septiembre de 2004. Serie C No. 114, párr. 225.</w:t>
      </w:r>
    </w:p>
    <w:p w:rsidR="00AC337F" w:rsidRDefault="00AC337F" w:rsidP="00AC337F">
      <w:pPr>
        <w:pStyle w:val="Textonotapie"/>
        <w:jc w:val="both"/>
        <w:rPr>
          <w:rFonts w:ascii="Century Gothic" w:hAnsi="Century Gothic"/>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21B"/>
    <w:multiLevelType w:val="hybridMultilevel"/>
    <w:tmpl w:val="BCE8C4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E76B12"/>
    <w:multiLevelType w:val="hybridMultilevel"/>
    <w:tmpl w:val="0D0A9DBA"/>
    <w:lvl w:ilvl="0" w:tplc="58B0C17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24A2C6E"/>
    <w:multiLevelType w:val="hybridMultilevel"/>
    <w:tmpl w:val="52B2F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47794F"/>
    <w:multiLevelType w:val="hybridMultilevel"/>
    <w:tmpl w:val="8A58D9B8"/>
    <w:lvl w:ilvl="0" w:tplc="88AC9048">
      <w:start w:val="1"/>
      <w:numFmt w:val="bullet"/>
      <w:lvlText w:val=""/>
      <w:lvlJc w:val="left"/>
      <w:pPr>
        <w:ind w:left="1800" w:hanging="360"/>
      </w:pPr>
      <w:rPr>
        <w:rFonts w:ascii="Symbol" w:eastAsiaTheme="minorHAnsi" w:hAnsi="Symbol" w:cs="Arial" w:hint="default"/>
        <w:color w:val="auto"/>
        <w:sz w:val="22"/>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15:restartNumberingAfterBreak="0">
    <w:nsid w:val="3D2F7CB3"/>
    <w:multiLevelType w:val="hybridMultilevel"/>
    <w:tmpl w:val="26E21352"/>
    <w:lvl w:ilvl="0" w:tplc="6EB48A6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4A1F3A9B"/>
    <w:multiLevelType w:val="hybridMultilevel"/>
    <w:tmpl w:val="37A2BDFA"/>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62D83F23"/>
    <w:multiLevelType w:val="hybridMultilevel"/>
    <w:tmpl w:val="524EE636"/>
    <w:lvl w:ilvl="0" w:tplc="EB70D7EE">
      <w:start w:val="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13"/>
    <w:rsid w:val="00037FEF"/>
    <w:rsid w:val="001A5294"/>
    <w:rsid w:val="003F4291"/>
    <w:rsid w:val="004E6AF1"/>
    <w:rsid w:val="00595386"/>
    <w:rsid w:val="005D3DEF"/>
    <w:rsid w:val="007A0C0A"/>
    <w:rsid w:val="008F0B13"/>
    <w:rsid w:val="009147DE"/>
    <w:rsid w:val="009C7A9D"/>
    <w:rsid w:val="00AC337F"/>
    <w:rsid w:val="00B65F4D"/>
    <w:rsid w:val="00C3414C"/>
    <w:rsid w:val="00C62D2A"/>
    <w:rsid w:val="00C87D4A"/>
    <w:rsid w:val="00E408B3"/>
    <w:rsid w:val="00E7729C"/>
    <w:rsid w:val="00F50E3F"/>
    <w:rsid w:val="00F51F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28D807"/>
  <w15:chartTrackingRefBased/>
  <w15:docId w15:val="{972C2425-AA07-4A8B-AC6F-5D55F3A1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F0B13"/>
  </w:style>
  <w:style w:type="paragraph" w:styleId="Prrafodelista">
    <w:name w:val="List Paragraph"/>
    <w:basedOn w:val="Normal"/>
    <w:uiPriority w:val="34"/>
    <w:qFormat/>
    <w:rsid w:val="00F50E3F"/>
    <w:pPr>
      <w:ind w:left="720"/>
      <w:contextualSpacing/>
    </w:pPr>
  </w:style>
  <w:style w:type="paragraph" w:styleId="Sinespaciado">
    <w:name w:val="No Spacing"/>
    <w:uiPriority w:val="1"/>
    <w:qFormat/>
    <w:rsid w:val="004E6AF1"/>
    <w:pPr>
      <w:spacing w:after="0" w:line="240" w:lineRule="auto"/>
    </w:pPr>
  </w:style>
  <w:style w:type="paragraph" w:styleId="NormalWeb">
    <w:name w:val="Normal (Web)"/>
    <w:basedOn w:val="Normal"/>
    <w:uiPriority w:val="99"/>
    <w:unhideWhenUsed/>
    <w:rsid w:val="009147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
    <w:basedOn w:val="Normal"/>
    <w:link w:val="TextonotapieCar"/>
    <w:rsid w:val="00AC337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1,Footnote Text Char Char Char Char Car1,Footnote reference Car1,FA Fu Car1"/>
    <w:basedOn w:val="Fuentedeprrafopredeter"/>
    <w:link w:val="Textonotapie"/>
    <w:rsid w:val="00AC337F"/>
    <w:rPr>
      <w:rFonts w:ascii="Times New Roman" w:eastAsia="Times New Roman" w:hAnsi="Times New Roman" w:cs="Times New Roman"/>
      <w:sz w:val="20"/>
      <w:szCs w:val="20"/>
      <w:lang w:val="es-ES" w:eastAsia="es-ES"/>
    </w:rPr>
  </w:style>
  <w:style w:type="character" w:styleId="Refdenotaalpie">
    <w:name w:val="footnote reference"/>
    <w:rsid w:val="00AC3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2597</Words>
  <Characters>14288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Delgado</dc:creator>
  <cp:keywords/>
  <dc:description/>
  <cp:lastModifiedBy>Lorena Delgado</cp:lastModifiedBy>
  <cp:revision>4</cp:revision>
  <dcterms:created xsi:type="dcterms:W3CDTF">2017-02-14T03:13:00Z</dcterms:created>
  <dcterms:modified xsi:type="dcterms:W3CDTF">2017-02-14T05:25:00Z</dcterms:modified>
</cp:coreProperties>
</file>